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9384C" w14:textId="1792621B" w:rsidR="00FA4E81" w:rsidRPr="00DC163F" w:rsidRDefault="00FA4E81" w:rsidP="00B71D25"/>
    <w:p w14:paraId="21D803FA" w14:textId="20C097F5" w:rsidR="00FA4E81" w:rsidRPr="00DC163F" w:rsidRDefault="00FA4E81" w:rsidP="00B71D25"/>
    <w:p w14:paraId="771D4C4F" w14:textId="7DCD5CF4" w:rsidR="00FA4E81" w:rsidRPr="00DC163F" w:rsidRDefault="00FA4E81" w:rsidP="00B71D25"/>
    <w:p w14:paraId="12FE20BB" w14:textId="77777777" w:rsidR="00DA7CAB" w:rsidRPr="00DA7CAB" w:rsidRDefault="00DA7CAB" w:rsidP="00DA7CAB">
      <w:pPr>
        <w:rPr>
          <w:rFonts w:ascii="Avenir Next LT Pro" w:hAnsi="Avenir Next LT Pro"/>
          <w:b/>
          <w:bCs/>
          <w:color w:val="002060"/>
          <w:sz w:val="70"/>
          <w:szCs w:val="70"/>
        </w:rPr>
      </w:pPr>
      <w:r w:rsidRPr="00DA7CAB">
        <w:rPr>
          <w:rFonts w:ascii="Avenir Next LT Pro" w:hAnsi="Avenir Next LT Pro"/>
          <w:b/>
          <w:bCs/>
          <w:color w:val="002060"/>
          <w:sz w:val="70"/>
          <w:szCs w:val="70"/>
        </w:rPr>
        <w:t>Fossil Fuel Subsidy Inventory Template</w:t>
      </w:r>
    </w:p>
    <w:p w14:paraId="3A3A5271" w14:textId="77777777" w:rsidR="00DA7CAB" w:rsidRDefault="00DA7CAB" w:rsidP="00DA7CAB"/>
    <w:p w14:paraId="6A798ED7" w14:textId="587BA320" w:rsidR="00DA7CAB" w:rsidRDefault="001A70D9" w:rsidP="00DA7CAB">
      <w:r>
        <w:rPr>
          <w:noProof/>
        </w:rPr>
        <w:drawing>
          <wp:anchor distT="0" distB="0" distL="114300" distR="114300" simplePos="0" relativeHeight="251660293" behindDoc="0" locked="0" layoutInCell="1" allowOverlap="1" wp14:anchorId="1A2DE4C9" wp14:editId="1F553C6F">
            <wp:simplePos x="0" y="0"/>
            <wp:positionH relativeFrom="margin">
              <wp:posOffset>0</wp:posOffset>
            </wp:positionH>
            <wp:positionV relativeFrom="paragraph">
              <wp:posOffset>0</wp:posOffset>
            </wp:positionV>
            <wp:extent cx="1626395" cy="691218"/>
            <wp:effectExtent l="0" t="0" r="0" b="0"/>
            <wp:wrapNone/>
            <wp:docPr id="2322483" name="IISD Logo"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ISD Logo" descr="A blue and black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626395" cy="6912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69CD7C" w14:textId="77777777" w:rsidR="00DA7CAB" w:rsidRDefault="00DA7CAB" w:rsidP="00DA7CAB"/>
    <w:p w14:paraId="3A055F45" w14:textId="3221F6F8" w:rsidR="00FA4E81" w:rsidRPr="00DC163F" w:rsidRDefault="00FA4E81" w:rsidP="00B71D25"/>
    <w:p w14:paraId="7B24BB8B" w14:textId="5CE83193" w:rsidR="00FA4E81" w:rsidRPr="00DC163F" w:rsidRDefault="001A70D9" w:rsidP="00B71D25">
      <w:r>
        <w:t>December 2025</w:t>
      </w:r>
    </w:p>
    <w:p w14:paraId="4B3BCFC3" w14:textId="77777777" w:rsidR="00FA4E81" w:rsidRPr="00DC163F" w:rsidRDefault="00FA4E81" w:rsidP="00B71D25"/>
    <w:p w14:paraId="509E46E1" w14:textId="134DAC86" w:rsidR="00FA4E81" w:rsidRPr="00DC163F" w:rsidRDefault="00FA4E81" w:rsidP="00B71D25"/>
    <w:p w14:paraId="6311F3D0" w14:textId="77777777" w:rsidR="00FA4E81" w:rsidRPr="00DC163F" w:rsidRDefault="00FA4E81" w:rsidP="00B71D25"/>
    <w:p w14:paraId="42C356BE" w14:textId="4576B0A2" w:rsidR="00FA4E81" w:rsidRPr="00DC163F" w:rsidRDefault="00FA4E81" w:rsidP="00B71D25"/>
    <w:p w14:paraId="5AE38B3E" w14:textId="2B19492B" w:rsidR="00FA4E81" w:rsidRPr="00DC163F" w:rsidRDefault="00FA4E81" w:rsidP="00B71D25"/>
    <w:p w14:paraId="417C723E" w14:textId="0DBA95B9" w:rsidR="000F2D7F" w:rsidRDefault="000F2D7F" w:rsidP="00B71D25"/>
    <w:p w14:paraId="1606C452" w14:textId="644C9A0C" w:rsidR="000F2D7F" w:rsidRDefault="000F2D7F" w:rsidP="00B71D25"/>
    <w:p w14:paraId="1CA634B7" w14:textId="200B4C43" w:rsidR="000F2D7F" w:rsidRDefault="000F2D7F" w:rsidP="00B71D25"/>
    <w:p w14:paraId="28F9E1B7" w14:textId="77777777" w:rsidR="003938D9" w:rsidRDefault="003938D9" w:rsidP="00B71D25">
      <w:pPr>
        <w:sectPr w:rsidR="003938D9" w:rsidSect="003F588F">
          <w:type w:val="continuous"/>
          <w:pgSz w:w="11906" w:h="16838" w:code="9"/>
          <w:pgMar w:top="1980" w:right="1440" w:bottom="1440" w:left="1440" w:header="720" w:footer="720" w:gutter="0"/>
          <w:pgNumType w:start="4"/>
          <w:cols w:space="720"/>
          <w:docGrid w:linePitch="360"/>
        </w:sectPr>
      </w:pPr>
    </w:p>
    <w:p w14:paraId="42B072C6" w14:textId="7BF1B942" w:rsidR="00B53B44" w:rsidRDefault="003938D9" w:rsidP="00B71D25">
      <w:pPr>
        <w:pStyle w:val="Heading1"/>
      </w:pPr>
      <w:bookmarkStart w:id="0" w:name="_Toc109049931"/>
      <w:bookmarkStart w:id="1" w:name="_Toc114043644"/>
      <w:bookmarkStart w:id="2" w:name="_Toc216254222"/>
      <w:r>
        <w:lastRenderedPageBreak/>
        <w:t>T</w:t>
      </w:r>
      <w:r w:rsidR="007F17CC">
        <w:t>able of Contents</w:t>
      </w:r>
      <w:bookmarkEnd w:id="0"/>
      <w:bookmarkEnd w:id="1"/>
      <w:bookmarkEnd w:id="2"/>
    </w:p>
    <w:p w14:paraId="1B484166" w14:textId="794DA978" w:rsidR="00733656" w:rsidRDefault="00157F7F">
      <w:pPr>
        <w:pStyle w:val="TOC1"/>
        <w:tabs>
          <w:tab w:val="right" w:leader="dot" w:pos="9016"/>
        </w:tabs>
        <w:rPr>
          <w:rFonts w:asciiTheme="minorHAnsi" w:eastAsiaTheme="minorEastAsia" w:hAnsiTheme="minorHAnsi"/>
          <w:noProof/>
          <w:kern w:val="2"/>
          <w:sz w:val="24"/>
          <w:szCs w:val="24"/>
          <w:lang w:eastAsia="en-CA"/>
          <w14:ligatures w14:val="standardContextual"/>
        </w:rPr>
      </w:pPr>
      <w:r>
        <w:fldChar w:fldCharType="begin"/>
      </w:r>
      <w:r>
        <w:instrText xml:space="preserve"> TOC \o "1-3" \h \z \u </w:instrText>
      </w:r>
      <w:r>
        <w:fldChar w:fldCharType="separate"/>
      </w:r>
      <w:hyperlink w:anchor="_Toc216254223" w:history="1">
        <w:r w:rsidR="00733656" w:rsidRPr="004370DE">
          <w:rPr>
            <w:rStyle w:val="Hyperlink"/>
            <w:noProof/>
          </w:rPr>
          <w:t>Instructions</w:t>
        </w:r>
        <w:r w:rsidR="00733656">
          <w:rPr>
            <w:noProof/>
            <w:webHidden/>
          </w:rPr>
          <w:tab/>
        </w:r>
        <w:r w:rsidR="00733656">
          <w:rPr>
            <w:noProof/>
            <w:webHidden/>
          </w:rPr>
          <w:fldChar w:fldCharType="begin"/>
        </w:r>
        <w:r w:rsidR="00733656">
          <w:rPr>
            <w:noProof/>
            <w:webHidden/>
          </w:rPr>
          <w:instrText xml:space="preserve"> PAGEREF _Toc216254223 \h </w:instrText>
        </w:r>
        <w:r w:rsidR="00733656">
          <w:rPr>
            <w:noProof/>
            <w:webHidden/>
          </w:rPr>
        </w:r>
        <w:r w:rsidR="00733656">
          <w:rPr>
            <w:noProof/>
            <w:webHidden/>
          </w:rPr>
          <w:fldChar w:fldCharType="separate"/>
        </w:r>
        <w:r w:rsidR="005F70F3">
          <w:rPr>
            <w:noProof/>
            <w:webHidden/>
          </w:rPr>
          <w:t>1</w:t>
        </w:r>
        <w:r w:rsidR="00733656">
          <w:rPr>
            <w:noProof/>
            <w:webHidden/>
          </w:rPr>
          <w:fldChar w:fldCharType="end"/>
        </w:r>
      </w:hyperlink>
    </w:p>
    <w:p w14:paraId="5F5D3D37" w14:textId="0983D5BF" w:rsidR="00733656" w:rsidRDefault="00733656">
      <w:pPr>
        <w:pStyle w:val="TOC1"/>
        <w:tabs>
          <w:tab w:val="right" w:leader="dot" w:pos="9016"/>
        </w:tabs>
        <w:rPr>
          <w:rFonts w:asciiTheme="minorHAnsi" w:eastAsiaTheme="minorEastAsia" w:hAnsiTheme="minorHAnsi"/>
          <w:noProof/>
          <w:kern w:val="2"/>
          <w:sz w:val="24"/>
          <w:szCs w:val="24"/>
          <w:lang w:eastAsia="en-CA"/>
          <w14:ligatures w14:val="standardContextual"/>
        </w:rPr>
      </w:pPr>
      <w:hyperlink w:anchor="_Toc216254225" w:history="1">
        <w:r w:rsidRPr="004370DE">
          <w:rPr>
            <w:rStyle w:val="Hyperlink"/>
            <w:noProof/>
          </w:rPr>
          <w:t>Part 1: General subsidy overview</w:t>
        </w:r>
        <w:r>
          <w:rPr>
            <w:noProof/>
            <w:webHidden/>
          </w:rPr>
          <w:tab/>
        </w:r>
        <w:r>
          <w:rPr>
            <w:noProof/>
            <w:webHidden/>
          </w:rPr>
          <w:fldChar w:fldCharType="begin"/>
        </w:r>
        <w:r>
          <w:rPr>
            <w:noProof/>
            <w:webHidden/>
          </w:rPr>
          <w:instrText xml:space="preserve"> PAGEREF _Toc216254225 \h </w:instrText>
        </w:r>
        <w:r>
          <w:rPr>
            <w:noProof/>
            <w:webHidden/>
          </w:rPr>
        </w:r>
        <w:r>
          <w:rPr>
            <w:noProof/>
            <w:webHidden/>
          </w:rPr>
          <w:fldChar w:fldCharType="separate"/>
        </w:r>
        <w:r w:rsidR="005F70F3">
          <w:rPr>
            <w:noProof/>
            <w:webHidden/>
          </w:rPr>
          <w:t>2</w:t>
        </w:r>
        <w:r>
          <w:rPr>
            <w:noProof/>
            <w:webHidden/>
          </w:rPr>
          <w:fldChar w:fldCharType="end"/>
        </w:r>
      </w:hyperlink>
    </w:p>
    <w:p w14:paraId="17023F79" w14:textId="440096C0" w:rsidR="00733656" w:rsidRDefault="00733656">
      <w:pPr>
        <w:pStyle w:val="TOC1"/>
        <w:tabs>
          <w:tab w:val="right" w:leader="dot" w:pos="9016"/>
        </w:tabs>
        <w:rPr>
          <w:rFonts w:asciiTheme="minorHAnsi" w:eastAsiaTheme="minorEastAsia" w:hAnsiTheme="minorHAnsi"/>
          <w:noProof/>
          <w:kern w:val="2"/>
          <w:sz w:val="24"/>
          <w:szCs w:val="24"/>
          <w:lang w:eastAsia="en-CA"/>
          <w14:ligatures w14:val="standardContextual"/>
        </w:rPr>
      </w:pPr>
      <w:hyperlink w:anchor="_Toc216254226" w:history="1">
        <w:r w:rsidRPr="004370DE">
          <w:rPr>
            <w:rStyle w:val="Hyperlink"/>
            <w:noProof/>
          </w:rPr>
          <w:t>Part 2: Subsidy Summary Table</w:t>
        </w:r>
        <w:r>
          <w:rPr>
            <w:noProof/>
            <w:webHidden/>
          </w:rPr>
          <w:tab/>
        </w:r>
        <w:r>
          <w:rPr>
            <w:noProof/>
            <w:webHidden/>
          </w:rPr>
          <w:fldChar w:fldCharType="begin"/>
        </w:r>
        <w:r>
          <w:rPr>
            <w:noProof/>
            <w:webHidden/>
          </w:rPr>
          <w:instrText xml:space="preserve"> PAGEREF _Toc216254226 \h </w:instrText>
        </w:r>
        <w:r>
          <w:rPr>
            <w:noProof/>
            <w:webHidden/>
          </w:rPr>
        </w:r>
        <w:r>
          <w:rPr>
            <w:noProof/>
            <w:webHidden/>
          </w:rPr>
          <w:fldChar w:fldCharType="separate"/>
        </w:r>
        <w:r w:rsidR="005F70F3">
          <w:rPr>
            <w:noProof/>
            <w:webHidden/>
          </w:rPr>
          <w:t>3</w:t>
        </w:r>
        <w:r>
          <w:rPr>
            <w:noProof/>
            <w:webHidden/>
          </w:rPr>
          <w:fldChar w:fldCharType="end"/>
        </w:r>
      </w:hyperlink>
    </w:p>
    <w:p w14:paraId="4C49CC4A" w14:textId="75A42E76" w:rsidR="00733656" w:rsidRDefault="00733656">
      <w:pPr>
        <w:pStyle w:val="TOC1"/>
        <w:tabs>
          <w:tab w:val="right" w:leader="dot" w:pos="9016"/>
        </w:tabs>
        <w:rPr>
          <w:rFonts w:asciiTheme="minorHAnsi" w:eastAsiaTheme="minorEastAsia" w:hAnsiTheme="minorHAnsi"/>
          <w:noProof/>
          <w:kern w:val="2"/>
          <w:sz w:val="24"/>
          <w:szCs w:val="24"/>
          <w:lang w:eastAsia="en-CA"/>
          <w14:ligatures w14:val="standardContextual"/>
        </w:rPr>
      </w:pPr>
      <w:hyperlink w:anchor="_Toc216254227" w:history="1">
        <w:r w:rsidRPr="004370DE">
          <w:rPr>
            <w:rStyle w:val="Hyperlink"/>
            <w:noProof/>
          </w:rPr>
          <w:t>Part 3: Detailed Subsidy Descriptions  (Per Subsidy)</w:t>
        </w:r>
        <w:r>
          <w:rPr>
            <w:noProof/>
            <w:webHidden/>
          </w:rPr>
          <w:tab/>
        </w:r>
        <w:r>
          <w:rPr>
            <w:noProof/>
            <w:webHidden/>
          </w:rPr>
          <w:fldChar w:fldCharType="begin"/>
        </w:r>
        <w:r>
          <w:rPr>
            <w:noProof/>
            <w:webHidden/>
          </w:rPr>
          <w:instrText xml:space="preserve"> PAGEREF _Toc216254227 \h </w:instrText>
        </w:r>
        <w:r>
          <w:rPr>
            <w:noProof/>
            <w:webHidden/>
          </w:rPr>
        </w:r>
        <w:r>
          <w:rPr>
            <w:noProof/>
            <w:webHidden/>
          </w:rPr>
          <w:fldChar w:fldCharType="separate"/>
        </w:r>
        <w:r w:rsidR="005F70F3">
          <w:rPr>
            <w:noProof/>
            <w:webHidden/>
          </w:rPr>
          <w:t>4</w:t>
        </w:r>
        <w:r>
          <w:rPr>
            <w:noProof/>
            <w:webHidden/>
          </w:rPr>
          <w:fldChar w:fldCharType="end"/>
        </w:r>
      </w:hyperlink>
    </w:p>
    <w:p w14:paraId="462F09BA" w14:textId="484F3B44" w:rsidR="00733656" w:rsidRDefault="00733656">
      <w:pPr>
        <w:pStyle w:val="TOC1"/>
        <w:tabs>
          <w:tab w:val="right" w:leader="dot" w:pos="9016"/>
        </w:tabs>
        <w:rPr>
          <w:rFonts w:asciiTheme="minorHAnsi" w:eastAsiaTheme="minorEastAsia" w:hAnsiTheme="minorHAnsi"/>
          <w:noProof/>
          <w:kern w:val="2"/>
          <w:sz w:val="24"/>
          <w:szCs w:val="24"/>
          <w:lang w:eastAsia="en-CA"/>
          <w14:ligatures w14:val="standardContextual"/>
        </w:rPr>
      </w:pPr>
      <w:hyperlink w:anchor="_Toc216254228" w:history="1">
        <w:r w:rsidRPr="004370DE">
          <w:rPr>
            <w:rStyle w:val="Hyperlink"/>
            <w:noProof/>
          </w:rPr>
          <w:t>Appendix A. Example of a Detailed Subsidy Description by the Government of Energia</w:t>
        </w:r>
        <w:r>
          <w:rPr>
            <w:noProof/>
            <w:webHidden/>
          </w:rPr>
          <w:tab/>
        </w:r>
        <w:r>
          <w:rPr>
            <w:noProof/>
            <w:webHidden/>
          </w:rPr>
          <w:fldChar w:fldCharType="begin"/>
        </w:r>
        <w:r>
          <w:rPr>
            <w:noProof/>
            <w:webHidden/>
          </w:rPr>
          <w:instrText xml:space="preserve"> PAGEREF _Toc216254228 \h </w:instrText>
        </w:r>
        <w:r>
          <w:rPr>
            <w:noProof/>
            <w:webHidden/>
          </w:rPr>
        </w:r>
        <w:r>
          <w:rPr>
            <w:noProof/>
            <w:webHidden/>
          </w:rPr>
          <w:fldChar w:fldCharType="separate"/>
        </w:r>
        <w:r w:rsidR="005F70F3">
          <w:rPr>
            <w:noProof/>
            <w:webHidden/>
          </w:rPr>
          <w:t>7</w:t>
        </w:r>
        <w:r>
          <w:rPr>
            <w:noProof/>
            <w:webHidden/>
          </w:rPr>
          <w:fldChar w:fldCharType="end"/>
        </w:r>
      </w:hyperlink>
    </w:p>
    <w:p w14:paraId="5850E1F7" w14:textId="1594EC0E" w:rsidR="003938D9" w:rsidRDefault="00157F7F" w:rsidP="00B71D25">
      <w:r>
        <w:fldChar w:fldCharType="end"/>
      </w:r>
    </w:p>
    <w:p w14:paraId="53C1F5A3" w14:textId="52F943B5" w:rsidR="003938D9" w:rsidRDefault="003938D9" w:rsidP="00B71D25"/>
    <w:p w14:paraId="6612A52B" w14:textId="195F8CFE" w:rsidR="00C331AA" w:rsidRDefault="00D63914" w:rsidP="00B71D25">
      <w:r>
        <w:br w:type="page"/>
      </w:r>
    </w:p>
    <w:p w14:paraId="76F49B47" w14:textId="458615CF" w:rsidR="00D63914" w:rsidRDefault="00D63914" w:rsidP="00B71D25">
      <w:pPr>
        <w:sectPr w:rsidR="00D63914" w:rsidSect="003F588F">
          <w:headerReference w:type="default" r:id="rId12"/>
          <w:footerReference w:type="default" r:id="rId13"/>
          <w:pgSz w:w="11906" w:h="16838" w:code="9"/>
          <w:pgMar w:top="1980" w:right="1440" w:bottom="1440" w:left="1440" w:header="720" w:footer="432" w:gutter="0"/>
          <w:pgNumType w:fmt="lowerRoman" w:start="1"/>
          <w:cols w:space="720"/>
          <w:docGrid w:linePitch="360"/>
        </w:sectPr>
      </w:pPr>
    </w:p>
    <w:p w14:paraId="7DC7746D" w14:textId="1E031842" w:rsidR="00542CEE" w:rsidRDefault="00BD329A" w:rsidP="00B71D25">
      <w:pPr>
        <w:pStyle w:val="Heading1"/>
      </w:pPr>
      <w:bookmarkStart w:id="3" w:name="_Toc216254223"/>
      <w:r>
        <w:lastRenderedPageBreak/>
        <w:t>Instructions</w:t>
      </w:r>
      <w:bookmarkEnd w:id="3"/>
    </w:p>
    <w:p w14:paraId="105ADFED" w14:textId="688D2D82" w:rsidR="008935EC" w:rsidRDefault="008935EC" w:rsidP="00B71D25">
      <w:pPr>
        <w:pStyle w:val="Heading2"/>
        <w:rPr>
          <w:rFonts w:ascii="Georgia" w:eastAsiaTheme="minorHAnsi" w:hAnsi="Georgia" w:cstheme="minorBidi"/>
          <w:b w:val="0"/>
          <w:bCs w:val="0"/>
          <w:color w:val="auto"/>
          <w:sz w:val="22"/>
          <w:szCs w:val="22"/>
        </w:rPr>
      </w:pPr>
      <w:bookmarkStart w:id="4" w:name="_Toc216254224"/>
      <w:r w:rsidRPr="008935EC">
        <w:rPr>
          <w:rFonts w:ascii="Georgia" w:eastAsiaTheme="minorHAnsi" w:hAnsi="Georgia" w:cstheme="minorBidi"/>
          <w:b w:val="0"/>
          <w:bCs w:val="0"/>
          <w:color w:val="auto"/>
          <w:sz w:val="22"/>
          <w:szCs w:val="22"/>
        </w:rPr>
        <w:t xml:space="preserve">This template allows countries to track multiple fossil fuel subsidies by providing an overview of all subsidies (Part 1 &amp; 2) and detailed descriptions of each subsidy scheme </w:t>
      </w:r>
      <w:r w:rsidR="00777A9F">
        <w:rPr>
          <w:rFonts w:ascii="Georgia" w:eastAsiaTheme="minorHAnsi" w:hAnsi="Georgia" w:cstheme="minorBidi"/>
          <w:b w:val="0"/>
          <w:bCs w:val="0"/>
          <w:color w:val="auto"/>
          <w:sz w:val="22"/>
          <w:szCs w:val="22"/>
        </w:rPr>
        <w:br/>
      </w:r>
      <w:r w:rsidRPr="008935EC">
        <w:rPr>
          <w:rFonts w:ascii="Georgia" w:eastAsiaTheme="minorHAnsi" w:hAnsi="Georgia" w:cstheme="minorBidi"/>
          <w:b w:val="0"/>
          <w:bCs w:val="0"/>
          <w:color w:val="auto"/>
          <w:sz w:val="22"/>
          <w:szCs w:val="22"/>
        </w:rPr>
        <w:t>(Part 3).</w:t>
      </w:r>
      <w:bookmarkEnd w:id="4"/>
    </w:p>
    <w:p w14:paraId="72850E4E" w14:textId="7582BA06" w:rsidR="008935EC" w:rsidRDefault="008935EC">
      <w:pPr>
        <w:spacing w:after="200" w:line="276" w:lineRule="auto"/>
      </w:pPr>
      <w:r>
        <w:br w:type="page"/>
      </w:r>
    </w:p>
    <w:p w14:paraId="33276367" w14:textId="051F3239" w:rsidR="008935EC" w:rsidRPr="008935EC" w:rsidRDefault="00B91E3F" w:rsidP="008935EC">
      <w:pPr>
        <w:pStyle w:val="Heading1"/>
      </w:pPr>
      <w:bookmarkStart w:id="5" w:name="_Toc216254225"/>
      <w:r>
        <w:lastRenderedPageBreak/>
        <w:t xml:space="preserve">Part 1: </w:t>
      </w:r>
      <w:r w:rsidRPr="00B91E3F">
        <w:t>General subsidy overview</w:t>
      </w:r>
      <w:bookmarkEnd w:id="5"/>
    </w:p>
    <w:p w14:paraId="054869BB" w14:textId="6FF7B209" w:rsidR="003E188D" w:rsidRPr="00777A9F" w:rsidRDefault="00F15170" w:rsidP="00B71D25">
      <w:pPr>
        <w:rPr>
          <w:color w:val="808080" w:themeColor="background1" w:themeShade="80"/>
        </w:rPr>
      </w:pPr>
      <w:r w:rsidRPr="00777A9F">
        <w:rPr>
          <w:color w:val="808080" w:themeColor="background1" w:themeShade="80"/>
        </w:rPr>
        <w:t>Provide a general overview of existing subsidies and any policy goals for reforming them. Include a description of the estimation method you have adopted to measure subsidies and any methodological challenges you have encountered.</w:t>
      </w:r>
    </w:p>
    <w:p w14:paraId="06676806" w14:textId="77777777" w:rsidR="004004EC" w:rsidRDefault="004004EC" w:rsidP="00B71D25"/>
    <w:p w14:paraId="5807C30A" w14:textId="77777777" w:rsidR="007B4A1E" w:rsidRDefault="007B4A1E" w:rsidP="00B71D25"/>
    <w:p w14:paraId="67F913D9" w14:textId="77777777" w:rsidR="007B4A1E" w:rsidRDefault="007B4A1E" w:rsidP="00B71D25"/>
    <w:p w14:paraId="6E3FEEB3" w14:textId="77777777" w:rsidR="007B4A1E" w:rsidRDefault="007B4A1E" w:rsidP="00B71D25"/>
    <w:p w14:paraId="338593B0" w14:textId="77777777" w:rsidR="007B4A1E" w:rsidRDefault="007B4A1E" w:rsidP="00B71D25"/>
    <w:p w14:paraId="056250D8" w14:textId="77777777" w:rsidR="007B4A1E" w:rsidRDefault="007B4A1E" w:rsidP="00B71D25"/>
    <w:p w14:paraId="5CB18095" w14:textId="77777777" w:rsidR="004004EC" w:rsidRDefault="004004EC" w:rsidP="00B71D25">
      <w:pPr>
        <w:sectPr w:rsidR="004004EC" w:rsidSect="003F588F">
          <w:footerReference w:type="default" r:id="rId14"/>
          <w:pgSz w:w="11906" w:h="16838" w:code="9"/>
          <w:pgMar w:top="1980" w:right="1440" w:bottom="1440" w:left="1440" w:header="720" w:footer="432" w:gutter="0"/>
          <w:pgNumType w:start="1"/>
          <w:cols w:space="720"/>
          <w:docGrid w:linePitch="360"/>
        </w:sectPr>
      </w:pPr>
    </w:p>
    <w:p w14:paraId="049B2B3B" w14:textId="48085004" w:rsidR="00944FDB" w:rsidRDefault="00014790" w:rsidP="007B5DF9">
      <w:pPr>
        <w:pStyle w:val="Heading1"/>
      </w:pPr>
      <w:bookmarkStart w:id="6" w:name="_Toc216254226"/>
      <w:r w:rsidRPr="00014790">
        <w:lastRenderedPageBreak/>
        <w:t>Part 2: Subsidy Summary Table</w:t>
      </w:r>
      <w:bookmarkEnd w:id="6"/>
    </w:p>
    <w:p w14:paraId="69BCC799" w14:textId="21478D09" w:rsidR="004004EC" w:rsidRPr="00984758" w:rsidRDefault="007B5DF9" w:rsidP="00B71D25">
      <w:pPr>
        <w:rPr>
          <w:color w:val="808080" w:themeColor="background1" w:themeShade="80"/>
        </w:rPr>
      </w:pPr>
      <w:r w:rsidRPr="00984758">
        <w:rPr>
          <w:color w:val="808080" w:themeColor="background1" w:themeShade="80"/>
        </w:rPr>
        <w:t>Add a new row for each subsidy.</w:t>
      </w:r>
    </w:p>
    <w:tbl>
      <w:tblPr>
        <w:tblStyle w:val="TableGrid"/>
        <w:tblW w:w="0" w:type="auto"/>
        <w:tblBorders>
          <w:top w:val="none" w:sz="0" w:space="0" w:color="auto"/>
          <w:left w:val="none" w:sz="0" w:space="0" w:color="auto"/>
          <w:bottom w:val="none" w:sz="0" w:space="0" w:color="auto"/>
          <w:right w:val="none" w:sz="0" w:space="0" w:color="auto"/>
        </w:tblBorders>
        <w:tblCellMar>
          <w:top w:w="45" w:type="dxa"/>
          <w:left w:w="45" w:type="dxa"/>
          <w:bottom w:w="45" w:type="dxa"/>
          <w:right w:w="45" w:type="dxa"/>
        </w:tblCellMar>
        <w:tblLook w:val="04A0" w:firstRow="1" w:lastRow="0" w:firstColumn="1" w:lastColumn="0" w:noHBand="0" w:noVBand="1"/>
      </w:tblPr>
      <w:tblGrid>
        <w:gridCol w:w="1312"/>
        <w:gridCol w:w="1314"/>
        <w:gridCol w:w="1448"/>
        <w:gridCol w:w="1381"/>
        <w:gridCol w:w="1327"/>
        <w:gridCol w:w="1336"/>
        <w:gridCol w:w="1309"/>
        <w:gridCol w:w="1327"/>
        <w:gridCol w:w="1329"/>
        <w:gridCol w:w="1335"/>
      </w:tblGrid>
      <w:tr w:rsidR="00DB041C" w:rsidRPr="009D225A" w14:paraId="4B333CD7" w14:textId="77777777" w:rsidTr="00D500C3">
        <w:tc>
          <w:tcPr>
            <w:tcW w:w="1340" w:type="dxa"/>
            <w:shd w:val="clear" w:color="auto" w:fill="00B0F0"/>
            <w:vAlign w:val="bottom"/>
          </w:tcPr>
          <w:p w14:paraId="66F63B06" w14:textId="61DC2AAA" w:rsidR="007B5DF9" w:rsidRPr="00D500C3" w:rsidRDefault="007B5DF9" w:rsidP="00984758">
            <w:pPr>
              <w:spacing w:after="0" w:line="240" w:lineRule="auto"/>
              <w:rPr>
                <w:rFonts w:ascii="Avenir Next LT Pro" w:hAnsi="Avenir Next LT Pro"/>
                <w:b/>
                <w:bCs/>
                <w:color w:val="FFFFFF" w:themeColor="background1"/>
                <w:sz w:val="20"/>
                <w:szCs w:val="20"/>
              </w:rPr>
            </w:pPr>
            <w:r w:rsidRPr="00D500C3">
              <w:rPr>
                <w:rFonts w:ascii="Avenir Next LT Pro" w:hAnsi="Avenir Next LT Pro"/>
                <w:b/>
                <w:bCs/>
                <w:color w:val="FFFFFF" w:themeColor="background1"/>
                <w:sz w:val="20"/>
                <w:szCs w:val="20"/>
              </w:rPr>
              <w:t>#</w:t>
            </w:r>
          </w:p>
        </w:tc>
        <w:tc>
          <w:tcPr>
            <w:tcW w:w="1340" w:type="dxa"/>
            <w:shd w:val="clear" w:color="auto" w:fill="00B0F0"/>
            <w:vAlign w:val="bottom"/>
          </w:tcPr>
          <w:p w14:paraId="0F433C0F" w14:textId="11604D09" w:rsidR="007B5DF9" w:rsidRPr="00D500C3" w:rsidRDefault="007B5DF9" w:rsidP="00984758">
            <w:pPr>
              <w:spacing w:after="0" w:line="240" w:lineRule="auto"/>
              <w:rPr>
                <w:rFonts w:ascii="Avenir Next LT Pro" w:hAnsi="Avenir Next LT Pro"/>
                <w:b/>
                <w:bCs/>
                <w:color w:val="FFFFFF" w:themeColor="background1"/>
                <w:sz w:val="20"/>
                <w:szCs w:val="20"/>
              </w:rPr>
            </w:pPr>
            <w:r w:rsidRPr="00D500C3">
              <w:rPr>
                <w:rFonts w:ascii="Avenir Next LT Pro" w:hAnsi="Avenir Next LT Pro"/>
                <w:b/>
                <w:bCs/>
                <w:color w:val="FFFFFF" w:themeColor="background1"/>
                <w:sz w:val="20"/>
                <w:szCs w:val="20"/>
              </w:rPr>
              <w:t>Subsidy name</w:t>
            </w:r>
          </w:p>
        </w:tc>
        <w:tc>
          <w:tcPr>
            <w:tcW w:w="1341" w:type="dxa"/>
            <w:shd w:val="clear" w:color="auto" w:fill="00B0F0"/>
            <w:vAlign w:val="bottom"/>
          </w:tcPr>
          <w:p w14:paraId="2163CDFD" w14:textId="2E268DBC" w:rsidR="007B5DF9" w:rsidRPr="00D500C3" w:rsidRDefault="005A64D6" w:rsidP="00984758">
            <w:pPr>
              <w:spacing w:after="0" w:line="240" w:lineRule="auto"/>
              <w:rPr>
                <w:rFonts w:ascii="Avenir Next LT Pro" w:hAnsi="Avenir Next LT Pro"/>
                <w:b/>
                <w:bCs/>
                <w:color w:val="FFFFFF" w:themeColor="background1"/>
                <w:sz w:val="20"/>
                <w:szCs w:val="20"/>
              </w:rPr>
            </w:pPr>
            <w:r w:rsidRPr="00D500C3">
              <w:rPr>
                <w:rFonts w:ascii="Avenir Next LT Pro" w:hAnsi="Avenir Next LT Pro"/>
                <w:b/>
                <w:bCs/>
                <w:color w:val="FFFFFF" w:themeColor="background1"/>
                <w:sz w:val="20"/>
                <w:szCs w:val="20"/>
              </w:rPr>
              <w:t>Disbursement mechanism</w:t>
            </w:r>
          </w:p>
        </w:tc>
        <w:tc>
          <w:tcPr>
            <w:tcW w:w="1341" w:type="dxa"/>
            <w:shd w:val="clear" w:color="auto" w:fill="00B0F0"/>
            <w:vAlign w:val="bottom"/>
          </w:tcPr>
          <w:p w14:paraId="0CE221C7" w14:textId="7913AA26" w:rsidR="007B5DF9" w:rsidRPr="00D500C3" w:rsidRDefault="00392EEB" w:rsidP="00984758">
            <w:pPr>
              <w:spacing w:after="0" w:line="240" w:lineRule="auto"/>
              <w:rPr>
                <w:rFonts w:ascii="Avenir Next LT Pro" w:hAnsi="Avenir Next LT Pro"/>
                <w:b/>
                <w:bCs/>
                <w:color w:val="FFFFFF" w:themeColor="background1"/>
                <w:sz w:val="20"/>
                <w:szCs w:val="20"/>
              </w:rPr>
            </w:pPr>
            <w:r w:rsidRPr="00D500C3">
              <w:rPr>
                <w:rFonts w:ascii="Avenir Next LT Pro" w:hAnsi="Avenir Next LT Pro"/>
                <w:b/>
                <w:bCs/>
                <w:color w:val="FFFFFF" w:themeColor="background1"/>
                <w:sz w:val="20"/>
                <w:szCs w:val="20"/>
              </w:rPr>
              <w:t>Stimulated activity</w:t>
            </w:r>
          </w:p>
        </w:tc>
        <w:tc>
          <w:tcPr>
            <w:tcW w:w="1341" w:type="dxa"/>
            <w:shd w:val="clear" w:color="auto" w:fill="00B0F0"/>
            <w:vAlign w:val="bottom"/>
          </w:tcPr>
          <w:p w14:paraId="5A3691FA" w14:textId="7280D69F" w:rsidR="007B5DF9" w:rsidRPr="00D500C3" w:rsidRDefault="003377ED" w:rsidP="00984758">
            <w:pPr>
              <w:spacing w:after="0" w:line="240" w:lineRule="auto"/>
              <w:rPr>
                <w:rFonts w:ascii="Avenir Next LT Pro" w:hAnsi="Avenir Next LT Pro"/>
                <w:b/>
                <w:bCs/>
                <w:color w:val="FFFFFF" w:themeColor="background1"/>
                <w:sz w:val="20"/>
                <w:szCs w:val="20"/>
              </w:rPr>
            </w:pPr>
            <w:r w:rsidRPr="00D500C3">
              <w:rPr>
                <w:rFonts w:ascii="Avenir Next LT Pro" w:hAnsi="Avenir Next LT Pro"/>
                <w:b/>
                <w:bCs/>
                <w:color w:val="FFFFFF" w:themeColor="background1"/>
                <w:sz w:val="20"/>
                <w:szCs w:val="20"/>
              </w:rPr>
              <w:t>Fuel type</w:t>
            </w:r>
          </w:p>
        </w:tc>
        <w:tc>
          <w:tcPr>
            <w:tcW w:w="1341" w:type="dxa"/>
            <w:shd w:val="clear" w:color="auto" w:fill="00B0F0"/>
            <w:vAlign w:val="bottom"/>
          </w:tcPr>
          <w:p w14:paraId="7A8B16FB" w14:textId="2B0ACA8F" w:rsidR="007B5DF9" w:rsidRPr="00D500C3" w:rsidRDefault="00D777CE" w:rsidP="00984758">
            <w:pPr>
              <w:spacing w:after="0" w:line="240" w:lineRule="auto"/>
              <w:rPr>
                <w:rFonts w:ascii="Avenir Next LT Pro" w:hAnsi="Avenir Next LT Pro"/>
                <w:b/>
                <w:bCs/>
                <w:color w:val="FFFFFF" w:themeColor="background1"/>
                <w:sz w:val="20"/>
                <w:szCs w:val="20"/>
              </w:rPr>
            </w:pPr>
            <w:r w:rsidRPr="00D500C3">
              <w:rPr>
                <w:rFonts w:ascii="Avenir Next LT Pro" w:hAnsi="Avenir Next LT Pro"/>
                <w:b/>
                <w:bCs/>
                <w:color w:val="FFFFFF" w:themeColor="background1"/>
                <w:sz w:val="20"/>
                <w:szCs w:val="20"/>
              </w:rPr>
              <w:t>End recipients</w:t>
            </w:r>
          </w:p>
        </w:tc>
        <w:tc>
          <w:tcPr>
            <w:tcW w:w="1341" w:type="dxa"/>
            <w:shd w:val="clear" w:color="auto" w:fill="00B0F0"/>
            <w:vAlign w:val="bottom"/>
          </w:tcPr>
          <w:p w14:paraId="44FDA25B" w14:textId="60A21CFF" w:rsidR="007B5DF9" w:rsidRPr="00D500C3" w:rsidRDefault="00397E63" w:rsidP="00984758">
            <w:pPr>
              <w:spacing w:after="0" w:line="240" w:lineRule="auto"/>
              <w:rPr>
                <w:rFonts w:ascii="Avenir Next LT Pro" w:hAnsi="Avenir Next LT Pro"/>
                <w:b/>
                <w:bCs/>
                <w:color w:val="FFFFFF" w:themeColor="background1"/>
                <w:sz w:val="20"/>
                <w:szCs w:val="20"/>
              </w:rPr>
            </w:pPr>
            <w:r w:rsidRPr="00D500C3">
              <w:rPr>
                <w:rFonts w:ascii="Avenir Next LT Pro" w:hAnsi="Avenir Next LT Pro"/>
                <w:b/>
                <w:bCs/>
                <w:color w:val="FFFFFF" w:themeColor="background1"/>
                <w:sz w:val="20"/>
                <w:szCs w:val="20"/>
              </w:rPr>
              <w:t>Time period</w:t>
            </w:r>
          </w:p>
        </w:tc>
        <w:tc>
          <w:tcPr>
            <w:tcW w:w="1341" w:type="dxa"/>
            <w:shd w:val="clear" w:color="auto" w:fill="00B0F0"/>
            <w:vAlign w:val="bottom"/>
          </w:tcPr>
          <w:p w14:paraId="514A4A9C" w14:textId="18D24E6B" w:rsidR="007B5DF9" w:rsidRPr="00D500C3" w:rsidRDefault="00E63419" w:rsidP="00984758">
            <w:pPr>
              <w:spacing w:after="0" w:line="240" w:lineRule="auto"/>
              <w:rPr>
                <w:rFonts w:ascii="Avenir Next LT Pro" w:hAnsi="Avenir Next LT Pro"/>
                <w:b/>
                <w:bCs/>
                <w:color w:val="FFFFFF" w:themeColor="background1"/>
                <w:sz w:val="20"/>
                <w:szCs w:val="20"/>
              </w:rPr>
            </w:pPr>
            <w:r w:rsidRPr="00D500C3">
              <w:rPr>
                <w:rFonts w:ascii="Avenir Next LT Pro" w:hAnsi="Avenir Next LT Pro"/>
                <w:b/>
                <w:bCs/>
                <w:color w:val="FFFFFF" w:themeColor="background1"/>
                <w:sz w:val="20"/>
                <w:szCs w:val="20"/>
              </w:rPr>
              <w:t>Amount</w:t>
            </w:r>
          </w:p>
        </w:tc>
        <w:tc>
          <w:tcPr>
            <w:tcW w:w="1341" w:type="dxa"/>
            <w:shd w:val="clear" w:color="auto" w:fill="00B0F0"/>
            <w:vAlign w:val="bottom"/>
          </w:tcPr>
          <w:p w14:paraId="2A1D1C70" w14:textId="4178AA3E" w:rsidR="007B5DF9" w:rsidRPr="00D500C3" w:rsidRDefault="00597781" w:rsidP="00984758">
            <w:pPr>
              <w:spacing w:after="0" w:line="240" w:lineRule="auto"/>
              <w:rPr>
                <w:rFonts w:ascii="Avenir Next LT Pro" w:hAnsi="Avenir Next LT Pro"/>
                <w:b/>
                <w:bCs/>
                <w:color w:val="FFFFFF" w:themeColor="background1"/>
                <w:sz w:val="20"/>
                <w:szCs w:val="20"/>
              </w:rPr>
            </w:pPr>
            <w:r w:rsidRPr="00D500C3">
              <w:rPr>
                <w:rFonts w:ascii="Avenir Next LT Pro" w:hAnsi="Avenir Next LT Pro"/>
                <w:b/>
                <w:bCs/>
                <w:color w:val="FFFFFF" w:themeColor="background1"/>
                <w:sz w:val="20"/>
                <w:szCs w:val="20"/>
              </w:rPr>
              <w:t>Estimation method</w:t>
            </w:r>
          </w:p>
        </w:tc>
        <w:tc>
          <w:tcPr>
            <w:tcW w:w="1341" w:type="dxa"/>
            <w:shd w:val="clear" w:color="auto" w:fill="00B0F0"/>
            <w:vAlign w:val="bottom"/>
          </w:tcPr>
          <w:p w14:paraId="39D8BF64" w14:textId="55B660E5" w:rsidR="007B5DF9" w:rsidRPr="00D500C3" w:rsidRDefault="009D225A" w:rsidP="00984758">
            <w:pPr>
              <w:spacing w:after="0" w:line="240" w:lineRule="auto"/>
              <w:rPr>
                <w:rFonts w:ascii="Avenir Next LT Pro" w:hAnsi="Avenir Next LT Pro"/>
                <w:b/>
                <w:bCs/>
                <w:color w:val="FFFFFF" w:themeColor="background1"/>
                <w:sz w:val="20"/>
                <w:szCs w:val="20"/>
              </w:rPr>
            </w:pPr>
            <w:r w:rsidRPr="00D500C3">
              <w:rPr>
                <w:rFonts w:ascii="Avenir Next LT Pro" w:hAnsi="Avenir Next LT Pro"/>
                <w:b/>
                <w:bCs/>
                <w:color w:val="FFFFFF" w:themeColor="background1"/>
                <w:sz w:val="20"/>
                <w:szCs w:val="20"/>
              </w:rPr>
              <w:t>Jurisdiction</w:t>
            </w:r>
          </w:p>
        </w:tc>
      </w:tr>
      <w:tr w:rsidR="00DB041C" w:rsidRPr="009D225A" w14:paraId="1FDC681D" w14:textId="77777777" w:rsidTr="00984758">
        <w:tc>
          <w:tcPr>
            <w:tcW w:w="1340" w:type="dxa"/>
          </w:tcPr>
          <w:p w14:paraId="07B1D1F6" w14:textId="6F2FAEAE" w:rsidR="007B5DF9" w:rsidRPr="00805BA5" w:rsidRDefault="0041427D" w:rsidP="00984758">
            <w:pPr>
              <w:spacing w:after="0" w:line="240" w:lineRule="auto"/>
              <w:rPr>
                <w:rFonts w:ascii="Avenir Next LT Pro" w:hAnsi="Avenir Next LT Pro"/>
                <w:color w:val="808080" w:themeColor="background1" w:themeShade="80"/>
                <w:sz w:val="20"/>
                <w:szCs w:val="20"/>
              </w:rPr>
            </w:pPr>
            <w:r w:rsidRPr="00805BA5">
              <w:rPr>
                <w:rFonts w:ascii="Avenir Next LT Pro" w:hAnsi="Avenir Next LT Pro"/>
                <w:color w:val="808080" w:themeColor="background1" w:themeShade="80"/>
                <w:sz w:val="20"/>
                <w:szCs w:val="20"/>
              </w:rPr>
              <w:t>Enter number</w:t>
            </w:r>
          </w:p>
        </w:tc>
        <w:tc>
          <w:tcPr>
            <w:tcW w:w="1340" w:type="dxa"/>
          </w:tcPr>
          <w:p w14:paraId="4BD07347" w14:textId="6CBB8E76" w:rsidR="007B5DF9" w:rsidRPr="00805BA5" w:rsidRDefault="00933340" w:rsidP="00984758">
            <w:pPr>
              <w:spacing w:after="0" w:line="240" w:lineRule="auto"/>
              <w:rPr>
                <w:rFonts w:ascii="Avenir Next LT Pro" w:hAnsi="Avenir Next LT Pro"/>
                <w:color w:val="808080" w:themeColor="background1" w:themeShade="80"/>
                <w:sz w:val="20"/>
                <w:szCs w:val="20"/>
              </w:rPr>
            </w:pPr>
            <w:r w:rsidRPr="00805BA5">
              <w:rPr>
                <w:rFonts w:ascii="Avenir Next LT Pro" w:hAnsi="Avenir Next LT Pro"/>
                <w:color w:val="808080" w:themeColor="background1" w:themeShade="80"/>
                <w:sz w:val="20"/>
                <w:szCs w:val="20"/>
              </w:rPr>
              <w:t>Enter subsidy name</w:t>
            </w:r>
          </w:p>
        </w:tc>
        <w:tc>
          <w:tcPr>
            <w:tcW w:w="1341" w:type="dxa"/>
          </w:tcPr>
          <w:p w14:paraId="16E34B61" w14:textId="75B3645C" w:rsidR="007B5DF9" w:rsidRPr="00805BA5" w:rsidRDefault="00F74BD4" w:rsidP="00984758">
            <w:pPr>
              <w:spacing w:after="0" w:line="240" w:lineRule="auto"/>
              <w:rPr>
                <w:rFonts w:ascii="Avenir Next LT Pro" w:hAnsi="Avenir Next LT Pro"/>
                <w:color w:val="808080" w:themeColor="background1" w:themeShade="80"/>
                <w:sz w:val="20"/>
                <w:szCs w:val="20"/>
              </w:rPr>
            </w:pPr>
            <w:r w:rsidRPr="00805BA5">
              <w:rPr>
                <w:rFonts w:ascii="Avenir Next LT Pro" w:hAnsi="Avenir Next LT Pro"/>
                <w:color w:val="808080" w:themeColor="background1" w:themeShade="80"/>
                <w:sz w:val="20"/>
                <w:szCs w:val="20"/>
              </w:rPr>
              <w:t>Direct transfer, tax expenditure, induced transfer (income or price support), transfer of risk to government</w:t>
            </w:r>
          </w:p>
        </w:tc>
        <w:tc>
          <w:tcPr>
            <w:tcW w:w="1341" w:type="dxa"/>
          </w:tcPr>
          <w:p w14:paraId="28CF80E3" w14:textId="10070ECD" w:rsidR="007B5DF9" w:rsidRPr="00805BA5" w:rsidRDefault="00D82722" w:rsidP="00984758">
            <w:pPr>
              <w:spacing w:after="0" w:line="240" w:lineRule="auto"/>
              <w:rPr>
                <w:rFonts w:ascii="Avenir Next LT Pro" w:hAnsi="Avenir Next LT Pro"/>
                <w:color w:val="808080" w:themeColor="background1" w:themeShade="80"/>
                <w:sz w:val="20"/>
                <w:szCs w:val="20"/>
              </w:rPr>
            </w:pPr>
            <w:r w:rsidRPr="00805BA5">
              <w:rPr>
                <w:rFonts w:ascii="Avenir Next LT Pro" w:hAnsi="Avenir Next LT Pro"/>
                <w:color w:val="808080" w:themeColor="background1" w:themeShade="80"/>
                <w:sz w:val="20"/>
                <w:szCs w:val="20"/>
              </w:rPr>
              <w:t>Exploration, extraction, transportation (e.g., via pipelines), use in power and heat generation, end use (e.g., consumption of electricity, sales of motor fuels)</w:t>
            </w:r>
          </w:p>
        </w:tc>
        <w:tc>
          <w:tcPr>
            <w:tcW w:w="1341" w:type="dxa"/>
          </w:tcPr>
          <w:p w14:paraId="3B90443B" w14:textId="61D6CB2E" w:rsidR="007B5DF9" w:rsidRPr="00805BA5" w:rsidRDefault="00DB041C" w:rsidP="00984758">
            <w:pPr>
              <w:spacing w:after="0" w:line="240" w:lineRule="auto"/>
              <w:rPr>
                <w:rFonts w:ascii="Avenir Next LT Pro" w:hAnsi="Avenir Next LT Pro"/>
                <w:color w:val="808080" w:themeColor="background1" w:themeShade="80"/>
                <w:sz w:val="20"/>
                <w:szCs w:val="20"/>
              </w:rPr>
            </w:pPr>
            <w:r w:rsidRPr="00805BA5">
              <w:rPr>
                <w:rFonts w:ascii="Avenir Next LT Pro" w:hAnsi="Avenir Next LT Pro"/>
                <w:color w:val="808080" w:themeColor="background1" w:themeShade="80"/>
                <w:sz w:val="20"/>
                <w:szCs w:val="20"/>
              </w:rPr>
              <w:t>Coal, oil, gas, electricity, derivatives</w:t>
            </w:r>
          </w:p>
        </w:tc>
        <w:tc>
          <w:tcPr>
            <w:tcW w:w="1341" w:type="dxa"/>
          </w:tcPr>
          <w:p w14:paraId="28965504" w14:textId="77A73685" w:rsidR="007B5DF9" w:rsidRPr="00805BA5" w:rsidRDefault="00AA5A1D" w:rsidP="00984758">
            <w:pPr>
              <w:spacing w:after="0" w:line="240" w:lineRule="auto"/>
              <w:rPr>
                <w:rFonts w:ascii="Avenir Next LT Pro" w:hAnsi="Avenir Next LT Pro"/>
                <w:color w:val="808080" w:themeColor="background1" w:themeShade="80"/>
                <w:sz w:val="20"/>
                <w:szCs w:val="20"/>
              </w:rPr>
            </w:pPr>
            <w:r w:rsidRPr="00805BA5">
              <w:rPr>
                <w:rFonts w:ascii="Avenir Next LT Pro" w:hAnsi="Avenir Next LT Pro"/>
                <w:color w:val="808080" w:themeColor="background1" w:themeShade="80"/>
                <w:sz w:val="20"/>
                <w:szCs w:val="20"/>
              </w:rPr>
              <w:t>Households, commercial and industrial consumers, agriculture and fisheries, transport operators, utilities, public institutions, targeted social or geographic groups, fossil fuel producers, and other beneficiaries</w:t>
            </w:r>
          </w:p>
        </w:tc>
        <w:tc>
          <w:tcPr>
            <w:tcW w:w="1341" w:type="dxa"/>
          </w:tcPr>
          <w:p w14:paraId="2A483C2B" w14:textId="08B27183" w:rsidR="007B5DF9" w:rsidRPr="00805BA5" w:rsidRDefault="002701D5" w:rsidP="00984758">
            <w:pPr>
              <w:spacing w:after="0" w:line="240" w:lineRule="auto"/>
              <w:rPr>
                <w:rFonts w:ascii="Avenir Next LT Pro" w:hAnsi="Avenir Next LT Pro"/>
                <w:color w:val="808080" w:themeColor="background1" w:themeShade="80"/>
                <w:sz w:val="20"/>
                <w:szCs w:val="20"/>
              </w:rPr>
            </w:pPr>
            <w:r w:rsidRPr="00805BA5">
              <w:rPr>
                <w:rFonts w:ascii="Avenir Next LT Pro" w:hAnsi="Avenir Next LT Pro"/>
                <w:color w:val="808080" w:themeColor="background1" w:themeShade="80"/>
                <w:sz w:val="20"/>
                <w:szCs w:val="20"/>
              </w:rPr>
              <w:t>Start and end dates</w:t>
            </w:r>
          </w:p>
        </w:tc>
        <w:tc>
          <w:tcPr>
            <w:tcW w:w="1341" w:type="dxa"/>
          </w:tcPr>
          <w:p w14:paraId="3038FC90" w14:textId="0A662452" w:rsidR="007B5DF9" w:rsidRPr="00805BA5" w:rsidRDefault="00751C1C" w:rsidP="00984758">
            <w:pPr>
              <w:spacing w:after="0" w:line="240" w:lineRule="auto"/>
              <w:rPr>
                <w:rFonts w:ascii="Avenir Next LT Pro" w:hAnsi="Avenir Next LT Pro"/>
                <w:color w:val="808080" w:themeColor="background1" w:themeShade="80"/>
                <w:sz w:val="20"/>
                <w:szCs w:val="20"/>
              </w:rPr>
            </w:pPr>
            <w:r w:rsidRPr="00805BA5">
              <w:rPr>
                <w:rFonts w:ascii="Avenir Next LT Pro" w:hAnsi="Avenir Next LT Pro"/>
                <w:color w:val="808080" w:themeColor="background1" w:themeShade="80"/>
                <w:sz w:val="20"/>
                <w:szCs w:val="20"/>
              </w:rPr>
              <w:t>Amount disbursed/</w:t>
            </w:r>
            <w:r w:rsidR="00D07F2F" w:rsidRPr="00805BA5">
              <w:rPr>
                <w:rFonts w:ascii="Avenir Next LT Pro" w:hAnsi="Avenir Next LT Pro"/>
                <w:color w:val="808080" w:themeColor="background1" w:themeShade="80"/>
                <w:sz w:val="20"/>
                <w:szCs w:val="20"/>
              </w:rPr>
              <w:br/>
            </w:r>
            <w:r w:rsidRPr="00805BA5">
              <w:rPr>
                <w:rFonts w:ascii="Avenir Next LT Pro" w:hAnsi="Avenir Next LT Pro"/>
                <w:color w:val="808080" w:themeColor="background1" w:themeShade="80"/>
                <w:sz w:val="20"/>
                <w:szCs w:val="20"/>
              </w:rPr>
              <w:t>revenue foregone in a given year</w:t>
            </w:r>
          </w:p>
        </w:tc>
        <w:tc>
          <w:tcPr>
            <w:tcW w:w="1341" w:type="dxa"/>
          </w:tcPr>
          <w:p w14:paraId="153DE9F8" w14:textId="575E97D8" w:rsidR="007B5DF9" w:rsidRPr="00805BA5" w:rsidRDefault="00D56835" w:rsidP="00984758">
            <w:pPr>
              <w:spacing w:after="0" w:line="240" w:lineRule="auto"/>
              <w:rPr>
                <w:rFonts w:ascii="Avenir Next LT Pro" w:hAnsi="Avenir Next LT Pro"/>
                <w:color w:val="808080" w:themeColor="background1" w:themeShade="80"/>
                <w:sz w:val="20"/>
                <w:szCs w:val="20"/>
              </w:rPr>
            </w:pPr>
            <w:r w:rsidRPr="00805BA5">
              <w:rPr>
                <w:rFonts w:ascii="Avenir Next LT Pro" w:hAnsi="Avenir Next LT Pro"/>
                <w:color w:val="808080" w:themeColor="background1" w:themeShade="80"/>
                <w:sz w:val="20"/>
                <w:szCs w:val="20"/>
              </w:rPr>
              <w:t>Method used for measuring the subsidy amount</w:t>
            </w:r>
          </w:p>
        </w:tc>
        <w:tc>
          <w:tcPr>
            <w:tcW w:w="1341" w:type="dxa"/>
          </w:tcPr>
          <w:p w14:paraId="034597C7" w14:textId="28CAE2A9" w:rsidR="007B5DF9" w:rsidRPr="00805BA5" w:rsidRDefault="00D07F2F" w:rsidP="00984758">
            <w:pPr>
              <w:spacing w:after="0" w:line="240" w:lineRule="auto"/>
              <w:rPr>
                <w:rFonts w:ascii="Avenir Next LT Pro" w:hAnsi="Avenir Next LT Pro"/>
                <w:color w:val="808080" w:themeColor="background1" w:themeShade="80"/>
                <w:sz w:val="20"/>
                <w:szCs w:val="20"/>
              </w:rPr>
            </w:pPr>
            <w:r w:rsidRPr="00805BA5">
              <w:rPr>
                <w:rFonts w:ascii="Avenir Next LT Pro" w:hAnsi="Avenir Next LT Pro"/>
                <w:color w:val="808080" w:themeColor="background1" w:themeShade="80"/>
                <w:sz w:val="20"/>
                <w:szCs w:val="20"/>
              </w:rPr>
              <w:t>National/</w:t>
            </w:r>
            <w:r w:rsidRPr="00805BA5">
              <w:rPr>
                <w:rFonts w:ascii="Avenir Next LT Pro" w:hAnsi="Avenir Next LT Pro"/>
                <w:color w:val="808080" w:themeColor="background1" w:themeShade="80"/>
                <w:sz w:val="20"/>
                <w:szCs w:val="20"/>
              </w:rPr>
              <w:br/>
              <w:t>subnational</w:t>
            </w:r>
          </w:p>
        </w:tc>
      </w:tr>
      <w:tr w:rsidR="00DB041C" w:rsidRPr="009D225A" w14:paraId="03D8F605" w14:textId="77777777" w:rsidTr="00984758">
        <w:tc>
          <w:tcPr>
            <w:tcW w:w="1340" w:type="dxa"/>
          </w:tcPr>
          <w:p w14:paraId="6592EA91" w14:textId="77777777" w:rsidR="007B5DF9" w:rsidRPr="00805BA5" w:rsidRDefault="007B5DF9" w:rsidP="00984758">
            <w:pPr>
              <w:spacing w:after="0" w:line="240" w:lineRule="auto"/>
              <w:rPr>
                <w:rFonts w:ascii="Avenir Next LT Pro" w:hAnsi="Avenir Next LT Pro"/>
                <w:sz w:val="20"/>
                <w:szCs w:val="20"/>
              </w:rPr>
            </w:pPr>
          </w:p>
        </w:tc>
        <w:tc>
          <w:tcPr>
            <w:tcW w:w="1340" w:type="dxa"/>
          </w:tcPr>
          <w:p w14:paraId="503D98D6" w14:textId="77777777" w:rsidR="007B5DF9" w:rsidRPr="00805BA5" w:rsidRDefault="007B5DF9" w:rsidP="00984758">
            <w:pPr>
              <w:spacing w:after="0" w:line="240" w:lineRule="auto"/>
              <w:rPr>
                <w:rFonts w:ascii="Avenir Next LT Pro" w:hAnsi="Avenir Next LT Pro"/>
                <w:sz w:val="20"/>
                <w:szCs w:val="20"/>
              </w:rPr>
            </w:pPr>
          </w:p>
        </w:tc>
        <w:tc>
          <w:tcPr>
            <w:tcW w:w="1341" w:type="dxa"/>
          </w:tcPr>
          <w:p w14:paraId="661D339D" w14:textId="77777777" w:rsidR="007B5DF9" w:rsidRPr="00805BA5" w:rsidRDefault="007B5DF9" w:rsidP="00984758">
            <w:pPr>
              <w:spacing w:after="0" w:line="240" w:lineRule="auto"/>
              <w:rPr>
                <w:rFonts w:ascii="Avenir Next LT Pro" w:hAnsi="Avenir Next LT Pro"/>
                <w:sz w:val="20"/>
                <w:szCs w:val="20"/>
              </w:rPr>
            </w:pPr>
          </w:p>
        </w:tc>
        <w:tc>
          <w:tcPr>
            <w:tcW w:w="1341" w:type="dxa"/>
          </w:tcPr>
          <w:p w14:paraId="09520121" w14:textId="77777777" w:rsidR="007B5DF9" w:rsidRPr="00805BA5" w:rsidRDefault="007B5DF9" w:rsidP="00984758">
            <w:pPr>
              <w:spacing w:after="0" w:line="240" w:lineRule="auto"/>
              <w:rPr>
                <w:rFonts w:ascii="Avenir Next LT Pro" w:hAnsi="Avenir Next LT Pro"/>
                <w:sz w:val="20"/>
                <w:szCs w:val="20"/>
              </w:rPr>
            </w:pPr>
          </w:p>
        </w:tc>
        <w:tc>
          <w:tcPr>
            <w:tcW w:w="1341" w:type="dxa"/>
          </w:tcPr>
          <w:p w14:paraId="2A020277" w14:textId="77777777" w:rsidR="007B5DF9" w:rsidRPr="00805BA5" w:rsidRDefault="007B5DF9" w:rsidP="00984758">
            <w:pPr>
              <w:spacing w:after="0" w:line="240" w:lineRule="auto"/>
              <w:rPr>
                <w:rFonts w:ascii="Avenir Next LT Pro" w:hAnsi="Avenir Next LT Pro"/>
                <w:sz w:val="20"/>
                <w:szCs w:val="20"/>
              </w:rPr>
            </w:pPr>
          </w:p>
        </w:tc>
        <w:tc>
          <w:tcPr>
            <w:tcW w:w="1341" w:type="dxa"/>
          </w:tcPr>
          <w:p w14:paraId="2A2560E7" w14:textId="77777777" w:rsidR="007B5DF9" w:rsidRPr="00805BA5" w:rsidRDefault="007B5DF9" w:rsidP="00984758">
            <w:pPr>
              <w:spacing w:after="0" w:line="240" w:lineRule="auto"/>
              <w:rPr>
                <w:rFonts w:ascii="Avenir Next LT Pro" w:hAnsi="Avenir Next LT Pro"/>
                <w:sz w:val="20"/>
                <w:szCs w:val="20"/>
              </w:rPr>
            </w:pPr>
          </w:p>
        </w:tc>
        <w:tc>
          <w:tcPr>
            <w:tcW w:w="1341" w:type="dxa"/>
          </w:tcPr>
          <w:p w14:paraId="7703574E" w14:textId="77777777" w:rsidR="007B5DF9" w:rsidRPr="00805BA5" w:rsidRDefault="007B5DF9" w:rsidP="00984758">
            <w:pPr>
              <w:spacing w:after="0" w:line="240" w:lineRule="auto"/>
              <w:rPr>
                <w:rFonts w:ascii="Avenir Next LT Pro" w:hAnsi="Avenir Next LT Pro"/>
                <w:sz w:val="20"/>
                <w:szCs w:val="20"/>
              </w:rPr>
            </w:pPr>
          </w:p>
        </w:tc>
        <w:tc>
          <w:tcPr>
            <w:tcW w:w="1341" w:type="dxa"/>
          </w:tcPr>
          <w:p w14:paraId="56393FEC" w14:textId="77777777" w:rsidR="007B5DF9" w:rsidRPr="00805BA5" w:rsidRDefault="007B5DF9" w:rsidP="00984758">
            <w:pPr>
              <w:spacing w:after="0" w:line="240" w:lineRule="auto"/>
              <w:rPr>
                <w:rFonts w:ascii="Avenir Next LT Pro" w:hAnsi="Avenir Next LT Pro"/>
                <w:sz w:val="20"/>
                <w:szCs w:val="20"/>
              </w:rPr>
            </w:pPr>
          </w:p>
        </w:tc>
        <w:tc>
          <w:tcPr>
            <w:tcW w:w="1341" w:type="dxa"/>
          </w:tcPr>
          <w:p w14:paraId="6D5632D9" w14:textId="77777777" w:rsidR="007B5DF9" w:rsidRPr="00805BA5" w:rsidRDefault="007B5DF9" w:rsidP="00984758">
            <w:pPr>
              <w:spacing w:after="0" w:line="240" w:lineRule="auto"/>
              <w:rPr>
                <w:rFonts w:ascii="Avenir Next LT Pro" w:hAnsi="Avenir Next LT Pro"/>
                <w:sz w:val="20"/>
                <w:szCs w:val="20"/>
              </w:rPr>
            </w:pPr>
          </w:p>
        </w:tc>
        <w:tc>
          <w:tcPr>
            <w:tcW w:w="1341" w:type="dxa"/>
          </w:tcPr>
          <w:p w14:paraId="1EE9A12D" w14:textId="77777777" w:rsidR="007B5DF9" w:rsidRPr="00805BA5" w:rsidRDefault="007B5DF9" w:rsidP="00984758">
            <w:pPr>
              <w:spacing w:after="0" w:line="240" w:lineRule="auto"/>
              <w:rPr>
                <w:rFonts w:ascii="Avenir Next LT Pro" w:hAnsi="Avenir Next LT Pro"/>
                <w:sz w:val="20"/>
                <w:szCs w:val="20"/>
              </w:rPr>
            </w:pPr>
          </w:p>
        </w:tc>
      </w:tr>
      <w:tr w:rsidR="00DB041C" w:rsidRPr="009D225A" w14:paraId="7AB4B931" w14:textId="77777777" w:rsidTr="00984758">
        <w:tc>
          <w:tcPr>
            <w:tcW w:w="1340" w:type="dxa"/>
          </w:tcPr>
          <w:p w14:paraId="3562D9E9" w14:textId="77777777" w:rsidR="007B5DF9" w:rsidRPr="00805BA5" w:rsidRDefault="007B5DF9" w:rsidP="00984758">
            <w:pPr>
              <w:spacing w:after="0" w:line="240" w:lineRule="auto"/>
              <w:rPr>
                <w:rFonts w:ascii="Avenir Next LT Pro" w:hAnsi="Avenir Next LT Pro"/>
                <w:sz w:val="20"/>
                <w:szCs w:val="20"/>
              </w:rPr>
            </w:pPr>
          </w:p>
        </w:tc>
        <w:tc>
          <w:tcPr>
            <w:tcW w:w="1340" w:type="dxa"/>
          </w:tcPr>
          <w:p w14:paraId="2C4E8D0C" w14:textId="77777777" w:rsidR="007B5DF9" w:rsidRPr="00805BA5" w:rsidRDefault="007B5DF9" w:rsidP="00984758">
            <w:pPr>
              <w:spacing w:after="0" w:line="240" w:lineRule="auto"/>
              <w:rPr>
                <w:rFonts w:ascii="Avenir Next LT Pro" w:hAnsi="Avenir Next LT Pro"/>
                <w:sz w:val="20"/>
                <w:szCs w:val="20"/>
              </w:rPr>
            </w:pPr>
          </w:p>
        </w:tc>
        <w:tc>
          <w:tcPr>
            <w:tcW w:w="1341" w:type="dxa"/>
          </w:tcPr>
          <w:p w14:paraId="5C85D12F" w14:textId="77777777" w:rsidR="007B5DF9" w:rsidRPr="00805BA5" w:rsidRDefault="007B5DF9" w:rsidP="00984758">
            <w:pPr>
              <w:spacing w:after="0" w:line="240" w:lineRule="auto"/>
              <w:rPr>
                <w:rFonts w:ascii="Avenir Next LT Pro" w:hAnsi="Avenir Next LT Pro"/>
                <w:sz w:val="20"/>
                <w:szCs w:val="20"/>
              </w:rPr>
            </w:pPr>
          </w:p>
        </w:tc>
        <w:tc>
          <w:tcPr>
            <w:tcW w:w="1341" w:type="dxa"/>
          </w:tcPr>
          <w:p w14:paraId="14B6F163" w14:textId="77777777" w:rsidR="007B5DF9" w:rsidRPr="00805BA5" w:rsidRDefault="007B5DF9" w:rsidP="00984758">
            <w:pPr>
              <w:spacing w:after="0" w:line="240" w:lineRule="auto"/>
              <w:rPr>
                <w:rFonts w:ascii="Avenir Next LT Pro" w:hAnsi="Avenir Next LT Pro"/>
                <w:sz w:val="20"/>
                <w:szCs w:val="20"/>
              </w:rPr>
            </w:pPr>
          </w:p>
        </w:tc>
        <w:tc>
          <w:tcPr>
            <w:tcW w:w="1341" w:type="dxa"/>
          </w:tcPr>
          <w:p w14:paraId="4957195D" w14:textId="77777777" w:rsidR="007B5DF9" w:rsidRPr="00805BA5" w:rsidRDefault="007B5DF9" w:rsidP="00984758">
            <w:pPr>
              <w:spacing w:after="0" w:line="240" w:lineRule="auto"/>
              <w:rPr>
                <w:rFonts w:ascii="Avenir Next LT Pro" w:hAnsi="Avenir Next LT Pro"/>
                <w:sz w:val="20"/>
                <w:szCs w:val="20"/>
              </w:rPr>
            </w:pPr>
          </w:p>
        </w:tc>
        <w:tc>
          <w:tcPr>
            <w:tcW w:w="1341" w:type="dxa"/>
          </w:tcPr>
          <w:p w14:paraId="2D74D9AE" w14:textId="77777777" w:rsidR="007B5DF9" w:rsidRPr="00805BA5" w:rsidRDefault="007B5DF9" w:rsidP="00984758">
            <w:pPr>
              <w:spacing w:after="0" w:line="240" w:lineRule="auto"/>
              <w:rPr>
                <w:rFonts w:ascii="Avenir Next LT Pro" w:hAnsi="Avenir Next LT Pro"/>
                <w:sz w:val="20"/>
                <w:szCs w:val="20"/>
              </w:rPr>
            </w:pPr>
          </w:p>
        </w:tc>
        <w:tc>
          <w:tcPr>
            <w:tcW w:w="1341" w:type="dxa"/>
          </w:tcPr>
          <w:p w14:paraId="76CFBA54" w14:textId="77777777" w:rsidR="007B5DF9" w:rsidRPr="00805BA5" w:rsidRDefault="007B5DF9" w:rsidP="00984758">
            <w:pPr>
              <w:spacing w:after="0" w:line="240" w:lineRule="auto"/>
              <w:rPr>
                <w:rFonts w:ascii="Avenir Next LT Pro" w:hAnsi="Avenir Next LT Pro"/>
                <w:sz w:val="20"/>
                <w:szCs w:val="20"/>
              </w:rPr>
            </w:pPr>
          </w:p>
        </w:tc>
        <w:tc>
          <w:tcPr>
            <w:tcW w:w="1341" w:type="dxa"/>
          </w:tcPr>
          <w:p w14:paraId="1A2C2BB8" w14:textId="77777777" w:rsidR="007B5DF9" w:rsidRPr="00805BA5" w:rsidRDefault="007B5DF9" w:rsidP="00984758">
            <w:pPr>
              <w:spacing w:after="0" w:line="240" w:lineRule="auto"/>
              <w:rPr>
                <w:rFonts w:ascii="Avenir Next LT Pro" w:hAnsi="Avenir Next LT Pro"/>
                <w:sz w:val="20"/>
                <w:szCs w:val="20"/>
              </w:rPr>
            </w:pPr>
          </w:p>
        </w:tc>
        <w:tc>
          <w:tcPr>
            <w:tcW w:w="1341" w:type="dxa"/>
          </w:tcPr>
          <w:p w14:paraId="2B95E76B" w14:textId="77777777" w:rsidR="007B5DF9" w:rsidRPr="00805BA5" w:rsidRDefault="007B5DF9" w:rsidP="00984758">
            <w:pPr>
              <w:spacing w:after="0" w:line="240" w:lineRule="auto"/>
              <w:rPr>
                <w:rFonts w:ascii="Avenir Next LT Pro" w:hAnsi="Avenir Next LT Pro"/>
                <w:sz w:val="20"/>
                <w:szCs w:val="20"/>
              </w:rPr>
            </w:pPr>
          </w:p>
        </w:tc>
        <w:tc>
          <w:tcPr>
            <w:tcW w:w="1341" w:type="dxa"/>
          </w:tcPr>
          <w:p w14:paraId="30DBC8D7" w14:textId="77777777" w:rsidR="007B5DF9" w:rsidRPr="00805BA5" w:rsidRDefault="007B5DF9" w:rsidP="00984758">
            <w:pPr>
              <w:spacing w:after="0" w:line="240" w:lineRule="auto"/>
              <w:rPr>
                <w:rFonts w:ascii="Avenir Next LT Pro" w:hAnsi="Avenir Next LT Pro"/>
                <w:sz w:val="20"/>
                <w:szCs w:val="20"/>
              </w:rPr>
            </w:pPr>
          </w:p>
        </w:tc>
      </w:tr>
      <w:tr w:rsidR="00DB041C" w:rsidRPr="009D225A" w14:paraId="73303B8B" w14:textId="77777777" w:rsidTr="00984758">
        <w:tc>
          <w:tcPr>
            <w:tcW w:w="1340" w:type="dxa"/>
          </w:tcPr>
          <w:p w14:paraId="02318BE2" w14:textId="77777777" w:rsidR="007B5DF9" w:rsidRPr="00805BA5" w:rsidRDefault="007B5DF9" w:rsidP="00984758">
            <w:pPr>
              <w:spacing w:after="0" w:line="240" w:lineRule="auto"/>
              <w:rPr>
                <w:rFonts w:ascii="Avenir Next LT Pro" w:hAnsi="Avenir Next LT Pro"/>
                <w:sz w:val="20"/>
                <w:szCs w:val="20"/>
              </w:rPr>
            </w:pPr>
          </w:p>
        </w:tc>
        <w:tc>
          <w:tcPr>
            <w:tcW w:w="1340" w:type="dxa"/>
          </w:tcPr>
          <w:p w14:paraId="41D012FA" w14:textId="77777777" w:rsidR="007B5DF9" w:rsidRPr="00805BA5" w:rsidRDefault="007B5DF9" w:rsidP="00984758">
            <w:pPr>
              <w:spacing w:after="0" w:line="240" w:lineRule="auto"/>
              <w:rPr>
                <w:rFonts w:ascii="Avenir Next LT Pro" w:hAnsi="Avenir Next LT Pro"/>
                <w:sz w:val="20"/>
                <w:szCs w:val="20"/>
              </w:rPr>
            </w:pPr>
          </w:p>
        </w:tc>
        <w:tc>
          <w:tcPr>
            <w:tcW w:w="1341" w:type="dxa"/>
          </w:tcPr>
          <w:p w14:paraId="6674CB4D" w14:textId="77777777" w:rsidR="007B5DF9" w:rsidRPr="00805BA5" w:rsidRDefault="007B5DF9" w:rsidP="00984758">
            <w:pPr>
              <w:spacing w:after="0" w:line="240" w:lineRule="auto"/>
              <w:rPr>
                <w:rFonts w:ascii="Avenir Next LT Pro" w:hAnsi="Avenir Next LT Pro"/>
                <w:sz w:val="20"/>
                <w:szCs w:val="20"/>
              </w:rPr>
            </w:pPr>
          </w:p>
        </w:tc>
        <w:tc>
          <w:tcPr>
            <w:tcW w:w="1341" w:type="dxa"/>
          </w:tcPr>
          <w:p w14:paraId="29A82895" w14:textId="77777777" w:rsidR="007B5DF9" w:rsidRPr="00805BA5" w:rsidRDefault="007B5DF9" w:rsidP="00984758">
            <w:pPr>
              <w:spacing w:after="0" w:line="240" w:lineRule="auto"/>
              <w:rPr>
                <w:rFonts w:ascii="Avenir Next LT Pro" w:hAnsi="Avenir Next LT Pro"/>
                <w:sz w:val="20"/>
                <w:szCs w:val="20"/>
              </w:rPr>
            </w:pPr>
          </w:p>
        </w:tc>
        <w:tc>
          <w:tcPr>
            <w:tcW w:w="1341" w:type="dxa"/>
          </w:tcPr>
          <w:p w14:paraId="3329AD47" w14:textId="77777777" w:rsidR="007B5DF9" w:rsidRPr="00805BA5" w:rsidRDefault="007B5DF9" w:rsidP="00984758">
            <w:pPr>
              <w:spacing w:after="0" w:line="240" w:lineRule="auto"/>
              <w:rPr>
                <w:rFonts w:ascii="Avenir Next LT Pro" w:hAnsi="Avenir Next LT Pro"/>
                <w:sz w:val="20"/>
                <w:szCs w:val="20"/>
              </w:rPr>
            </w:pPr>
          </w:p>
        </w:tc>
        <w:tc>
          <w:tcPr>
            <w:tcW w:w="1341" w:type="dxa"/>
          </w:tcPr>
          <w:p w14:paraId="60E94BC4" w14:textId="77777777" w:rsidR="007B5DF9" w:rsidRPr="00805BA5" w:rsidRDefault="007B5DF9" w:rsidP="00984758">
            <w:pPr>
              <w:spacing w:after="0" w:line="240" w:lineRule="auto"/>
              <w:rPr>
                <w:rFonts w:ascii="Avenir Next LT Pro" w:hAnsi="Avenir Next LT Pro"/>
                <w:sz w:val="20"/>
                <w:szCs w:val="20"/>
              </w:rPr>
            </w:pPr>
          </w:p>
        </w:tc>
        <w:tc>
          <w:tcPr>
            <w:tcW w:w="1341" w:type="dxa"/>
          </w:tcPr>
          <w:p w14:paraId="710C8946" w14:textId="77777777" w:rsidR="007B5DF9" w:rsidRPr="00805BA5" w:rsidRDefault="007B5DF9" w:rsidP="00984758">
            <w:pPr>
              <w:spacing w:after="0" w:line="240" w:lineRule="auto"/>
              <w:rPr>
                <w:rFonts w:ascii="Avenir Next LT Pro" w:hAnsi="Avenir Next LT Pro"/>
                <w:sz w:val="20"/>
                <w:szCs w:val="20"/>
              </w:rPr>
            </w:pPr>
          </w:p>
        </w:tc>
        <w:tc>
          <w:tcPr>
            <w:tcW w:w="1341" w:type="dxa"/>
          </w:tcPr>
          <w:p w14:paraId="08FB31ED" w14:textId="77777777" w:rsidR="007B5DF9" w:rsidRPr="00805BA5" w:rsidRDefault="007B5DF9" w:rsidP="00984758">
            <w:pPr>
              <w:spacing w:after="0" w:line="240" w:lineRule="auto"/>
              <w:rPr>
                <w:rFonts w:ascii="Avenir Next LT Pro" w:hAnsi="Avenir Next LT Pro"/>
                <w:sz w:val="20"/>
                <w:szCs w:val="20"/>
              </w:rPr>
            </w:pPr>
          </w:p>
        </w:tc>
        <w:tc>
          <w:tcPr>
            <w:tcW w:w="1341" w:type="dxa"/>
          </w:tcPr>
          <w:p w14:paraId="27B70F5D" w14:textId="77777777" w:rsidR="007B5DF9" w:rsidRPr="00805BA5" w:rsidRDefault="007B5DF9" w:rsidP="00984758">
            <w:pPr>
              <w:spacing w:after="0" w:line="240" w:lineRule="auto"/>
              <w:rPr>
                <w:rFonts w:ascii="Avenir Next LT Pro" w:hAnsi="Avenir Next LT Pro"/>
                <w:sz w:val="20"/>
                <w:szCs w:val="20"/>
              </w:rPr>
            </w:pPr>
          </w:p>
        </w:tc>
        <w:tc>
          <w:tcPr>
            <w:tcW w:w="1341" w:type="dxa"/>
          </w:tcPr>
          <w:p w14:paraId="34D53A74" w14:textId="77777777" w:rsidR="007B5DF9" w:rsidRPr="00805BA5" w:rsidRDefault="007B5DF9" w:rsidP="00984758">
            <w:pPr>
              <w:spacing w:after="0" w:line="240" w:lineRule="auto"/>
              <w:rPr>
                <w:rFonts w:ascii="Avenir Next LT Pro" w:hAnsi="Avenir Next LT Pro"/>
                <w:sz w:val="20"/>
                <w:szCs w:val="20"/>
              </w:rPr>
            </w:pPr>
          </w:p>
        </w:tc>
      </w:tr>
      <w:tr w:rsidR="00DB041C" w:rsidRPr="009D225A" w14:paraId="6F13B0E5" w14:textId="77777777" w:rsidTr="00984758">
        <w:tc>
          <w:tcPr>
            <w:tcW w:w="1340" w:type="dxa"/>
          </w:tcPr>
          <w:p w14:paraId="1C6947AC" w14:textId="77777777" w:rsidR="007B5DF9" w:rsidRPr="00805BA5" w:rsidRDefault="007B5DF9" w:rsidP="00984758">
            <w:pPr>
              <w:spacing w:after="0" w:line="240" w:lineRule="auto"/>
              <w:rPr>
                <w:rFonts w:ascii="Avenir Next LT Pro" w:hAnsi="Avenir Next LT Pro"/>
                <w:sz w:val="20"/>
                <w:szCs w:val="20"/>
              </w:rPr>
            </w:pPr>
          </w:p>
        </w:tc>
        <w:tc>
          <w:tcPr>
            <w:tcW w:w="1340" w:type="dxa"/>
          </w:tcPr>
          <w:p w14:paraId="0DEF54D9" w14:textId="77777777" w:rsidR="007B5DF9" w:rsidRPr="00805BA5" w:rsidRDefault="007B5DF9" w:rsidP="00984758">
            <w:pPr>
              <w:spacing w:after="0" w:line="240" w:lineRule="auto"/>
              <w:rPr>
                <w:rFonts w:ascii="Avenir Next LT Pro" w:hAnsi="Avenir Next LT Pro"/>
                <w:sz w:val="20"/>
                <w:szCs w:val="20"/>
              </w:rPr>
            </w:pPr>
          </w:p>
        </w:tc>
        <w:tc>
          <w:tcPr>
            <w:tcW w:w="1341" w:type="dxa"/>
          </w:tcPr>
          <w:p w14:paraId="3196C7A0" w14:textId="77777777" w:rsidR="007B5DF9" w:rsidRPr="00805BA5" w:rsidRDefault="007B5DF9" w:rsidP="00984758">
            <w:pPr>
              <w:spacing w:after="0" w:line="240" w:lineRule="auto"/>
              <w:rPr>
                <w:rFonts w:ascii="Avenir Next LT Pro" w:hAnsi="Avenir Next LT Pro"/>
                <w:sz w:val="20"/>
                <w:szCs w:val="20"/>
              </w:rPr>
            </w:pPr>
          </w:p>
        </w:tc>
        <w:tc>
          <w:tcPr>
            <w:tcW w:w="1341" w:type="dxa"/>
          </w:tcPr>
          <w:p w14:paraId="007500D9" w14:textId="77777777" w:rsidR="007B5DF9" w:rsidRPr="00805BA5" w:rsidRDefault="007B5DF9" w:rsidP="00984758">
            <w:pPr>
              <w:spacing w:after="0" w:line="240" w:lineRule="auto"/>
              <w:rPr>
                <w:rFonts w:ascii="Avenir Next LT Pro" w:hAnsi="Avenir Next LT Pro"/>
                <w:sz w:val="20"/>
                <w:szCs w:val="20"/>
              </w:rPr>
            </w:pPr>
          </w:p>
        </w:tc>
        <w:tc>
          <w:tcPr>
            <w:tcW w:w="1341" w:type="dxa"/>
          </w:tcPr>
          <w:p w14:paraId="23AE2F65" w14:textId="77777777" w:rsidR="007B5DF9" w:rsidRPr="00805BA5" w:rsidRDefault="007B5DF9" w:rsidP="00984758">
            <w:pPr>
              <w:spacing w:after="0" w:line="240" w:lineRule="auto"/>
              <w:rPr>
                <w:rFonts w:ascii="Avenir Next LT Pro" w:hAnsi="Avenir Next LT Pro"/>
                <w:sz w:val="20"/>
                <w:szCs w:val="20"/>
              </w:rPr>
            </w:pPr>
          </w:p>
        </w:tc>
        <w:tc>
          <w:tcPr>
            <w:tcW w:w="1341" w:type="dxa"/>
          </w:tcPr>
          <w:p w14:paraId="6C5CEFC2" w14:textId="77777777" w:rsidR="007B5DF9" w:rsidRPr="00805BA5" w:rsidRDefault="007B5DF9" w:rsidP="00984758">
            <w:pPr>
              <w:spacing w:after="0" w:line="240" w:lineRule="auto"/>
              <w:rPr>
                <w:rFonts w:ascii="Avenir Next LT Pro" w:hAnsi="Avenir Next LT Pro"/>
                <w:sz w:val="20"/>
                <w:szCs w:val="20"/>
              </w:rPr>
            </w:pPr>
          </w:p>
        </w:tc>
        <w:tc>
          <w:tcPr>
            <w:tcW w:w="1341" w:type="dxa"/>
          </w:tcPr>
          <w:p w14:paraId="4466E86A" w14:textId="77777777" w:rsidR="007B5DF9" w:rsidRPr="00805BA5" w:rsidRDefault="007B5DF9" w:rsidP="00984758">
            <w:pPr>
              <w:spacing w:after="0" w:line="240" w:lineRule="auto"/>
              <w:rPr>
                <w:rFonts w:ascii="Avenir Next LT Pro" w:hAnsi="Avenir Next LT Pro"/>
                <w:sz w:val="20"/>
                <w:szCs w:val="20"/>
              </w:rPr>
            </w:pPr>
          </w:p>
        </w:tc>
        <w:tc>
          <w:tcPr>
            <w:tcW w:w="1341" w:type="dxa"/>
          </w:tcPr>
          <w:p w14:paraId="3AEF0133" w14:textId="77777777" w:rsidR="007B5DF9" w:rsidRPr="00805BA5" w:rsidRDefault="007B5DF9" w:rsidP="00984758">
            <w:pPr>
              <w:spacing w:after="0" w:line="240" w:lineRule="auto"/>
              <w:rPr>
                <w:rFonts w:ascii="Avenir Next LT Pro" w:hAnsi="Avenir Next LT Pro"/>
                <w:sz w:val="20"/>
                <w:szCs w:val="20"/>
              </w:rPr>
            </w:pPr>
          </w:p>
        </w:tc>
        <w:tc>
          <w:tcPr>
            <w:tcW w:w="1341" w:type="dxa"/>
          </w:tcPr>
          <w:p w14:paraId="7E0DE16F" w14:textId="77777777" w:rsidR="007B5DF9" w:rsidRPr="00805BA5" w:rsidRDefault="007B5DF9" w:rsidP="00984758">
            <w:pPr>
              <w:spacing w:after="0" w:line="240" w:lineRule="auto"/>
              <w:rPr>
                <w:rFonts w:ascii="Avenir Next LT Pro" w:hAnsi="Avenir Next LT Pro"/>
                <w:sz w:val="20"/>
                <w:szCs w:val="20"/>
              </w:rPr>
            </w:pPr>
          </w:p>
        </w:tc>
        <w:tc>
          <w:tcPr>
            <w:tcW w:w="1341" w:type="dxa"/>
          </w:tcPr>
          <w:p w14:paraId="758E4C58" w14:textId="77777777" w:rsidR="007B5DF9" w:rsidRPr="00805BA5" w:rsidRDefault="007B5DF9" w:rsidP="00984758">
            <w:pPr>
              <w:spacing w:after="0" w:line="240" w:lineRule="auto"/>
              <w:rPr>
                <w:rFonts w:ascii="Avenir Next LT Pro" w:hAnsi="Avenir Next LT Pro"/>
                <w:sz w:val="20"/>
                <w:szCs w:val="20"/>
              </w:rPr>
            </w:pPr>
          </w:p>
        </w:tc>
      </w:tr>
    </w:tbl>
    <w:p w14:paraId="28CB913B" w14:textId="77777777" w:rsidR="004004EC" w:rsidRDefault="004004EC" w:rsidP="00B71D25"/>
    <w:p w14:paraId="5C6267D2" w14:textId="77777777" w:rsidR="004004EC" w:rsidRDefault="004004EC" w:rsidP="00B71D25"/>
    <w:p w14:paraId="04B7B98B" w14:textId="77777777" w:rsidR="004004EC" w:rsidRDefault="004004EC" w:rsidP="00B71D25">
      <w:pPr>
        <w:sectPr w:rsidR="004004EC" w:rsidSect="009D6708">
          <w:pgSz w:w="16838" w:h="11906" w:orient="landscape" w:code="9"/>
          <w:pgMar w:top="1440" w:right="1980" w:bottom="1440" w:left="1440" w:header="720" w:footer="432" w:gutter="0"/>
          <w:cols w:space="720"/>
          <w:docGrid w:linePitch="360"/>
        </w:sectPr>
      </w:pPr>
    </w:p>
    <w:p w14:paraId="1682EE37" w14:textId="027C2E04" w:rsidR="004004EC" w:rsidRDefault="00805BA5" w:rsidP="00805BA5">
      <w:pPr>
        <w:pStyle w:val="Heading1"/>
      </w:pPr>
      <w:bookmarkStart w:id="7" w:name="_Toc216254227"/>
      <w:r w:rsidRPr="00805BA5">
        <w:lastRenderedPageBreak/>
        <w:t xml:space="preserve">Part 3: Detailed Subsidy Descriptions </w:t>
      </w:r>
      <w:r w:rsidR="00283AFA">
        <w:br/>
      </w:r>
      <w:r w:rsidRPr="00805BA5">
        <w:t>(Per Subsidy)</w:t>
      </w:r>
      <w:bookmarkEnd w:id="7"/>
    </w:p>
    <w:p w14:paraId="779AF2CF" w14:textId="0AF40AE5" w:rsidR="004004EC" w:rsidRDefault="00894024" w:rsidP="00B71D25">
      <w:pPr>
        <w:rPr>
          <w:color w:val="808080" w:themeColor="background1" w:themeShade="80"/>
        </w:rPr>
      </w:pPr>
      <w:r w:rsidRPr="00894024">
        <w:rPr>
          <w:color w:val="808080" w:themeColor="background1" w:themeShade="80"/>
        </w:rPr>
        <w:t>Provide full details for each subsidy. Copy this section for each additional subsidy.</w:t>
      </w:r>
    </w:p>
    <w:p w14:paraId="698A478C" w14:textId="051770C1" w:rsidR="00BA0C83" w:rsidRPr="00502B15" w:rsidRDefault="00BA0C83" w:rsidP="00BD1819">
      <w:pPr>
        <w:pStyle w:val="Heading2"/>
      </w:pPr>
      <w:r w:rsidRPr="00502B15">
        <w:t xml:space="preserve">Subsidy 1: </w:t>
      </w:r>
      <w:r w:rsidRPr="00502B15">
        <w:rPr>
          <w:color w:val="808080" w:themeColor="background1" w:themeShade="80"/>
        </w:rPr>
        <w:t>Enter Name</w:t>
      </w:r>
    </w:p>
    <w:p w14:paraId="39583622" w14:textId="77777777" w:rsidR="00DF775F" w:rsidRPr="004D0470" w:rsidRDefault="00DF775F" w:rsidP="00E671BD">
      <w:pPr>
        <w:pStyle w:val="Heading4"/>
      </w:pPr>
      <w:r w:rsidRPr="004D0470">
        <w:t>Subsidy Name</w:t>
      </w:r>
    </w:p>
    <w:p w14:paraId="082187E1" w14:textId="77777777" w:rsidR="00DF775F" w:rsidRPr="00975D6A" w:rsidRDefault="00DF775F" w:rsidP="00DF775F">
      <w:pPr>
        <w:rPr>
          <w:color w:val="808080" w:themeColor="background1" w:themeShade="80"/>
        </w:rPr>
      </w:pPr>
      <w:r w:rsidRPr="00975D6A">
        <w:rPr>
          <w:color w:val="808080" w:themeColor="background1" w:themeShade="80"/>
        </w:rPr>
        <w:t>Guidance: Enter the subsidy name</w:t>
      </w:r>
    </w:p>
    <w:p w14:paraId="74C02EEC" w14:textId="7BABF5B9" w:rsidR="004004EC" w:rsidRPr="00975D6A" w:rsidRDefault="00DF775F" w:rsidP="00DF775F">
      <w:pPr>
        <w:rPr>
          <w:color w:val="808080" w:themeColor="background1" w:themeShade="80"/>
        </w:rPr>
      </w:pPr>
      <w:r w:rsidRPr="00975D6A">
        <w:rPr>
          <w:color w:val="808080" w:themeColor="background1" w:themeShade="80"/>
        </w:rPr>
        <w:t xml:space="preserve">Entry: </w:t>
      </w:r>
    </w:p>
    <w:p w14:paraId="0739C1D9" w14:textId="77777777" w:rsidR="00B44999" w:rsidRPr="004D0470" w:rsidRDefault="00B44999" w:rsidP="00E671BD">
      <w:pPr>
        <w:pStyle w:val="Heading4"/>
      </w:pPr>
      <w:r w:rsidRPr="004D0470">
        <w:t>Background</w:t>
      </w:r>
    </w:p>
    <w:p w14:paraId="4DCE4FEA" w14:textId="77777777" w:rsidR="00B44999" w:rsidRPr="00975D6A" w:rsidRDefault="00B44999" w:rsidP="00B44999">
      <w:pPr>
        <w:rPr>
          <w:color w:val="808080" w:themeColor="background1" w:themeShade="80"/>
        </w:rPr>
      </w:pPr>
      <w:r w:rsidRPr="00975D6A">
        <w:rPr>
          <w:color w:val="808080" w:themeColor="background1" w:themeShade="80"/>
        </w:rPr>
        <w:t>Guidance: Full description, including context, funding, evolution, and disbursement</w:t>
      </w:r>
    </w:p>
    <w:p w14:paraId="7EDC92AE" w14:textId="7A6C9359" w:rsidR="00B44999" w:rsidRPr="00975D6A" w:rsidRDefault="00B44999" w:rsidP="00B44999">
      <w:pPr>
        <w:rPr>
          <w:color w:val="808080" w:themeColor="background1" w:themeShade="80"/>
        </w:rPr>
      </w:pPr>
      <w:r w:rsidRPr="00975D6A">
        <w:rPr>
          <w:color w:val="808080" w:themeColor="background1" w:themeShade="80"/>
        </w:rPr>
        <w:t xml:space="preserve">Entry: </w:t>
      </w:r>
    </w:p>
    <w:p w14:paraId="24810F9F" w14:textId="77777777" w:rsidR="00B44999" w:rsidRPr="004D0470" w:rsidRDefault="00B44999" w:rsidP="00E671BD">
      <w:pPr>
        <w:pStyle w:val="Heading4"/>
      </w:pPr>
      <w:r w:rsidRPr="004D0470">
        <w:t>Legislative/executive basis</w:t>
      </w:r>
    </w:p>
    <w:p w14:paraId="06410A93" w14:textId="77777777" w:rsidR="00B44999" w:rsidRPr="00975D6A" w:rsidRDefault="00B44999" w:rsidP="00B44999">
      <w:pPr>
        <w:rPr>
          <w:color w:val="808080" w:themeColor="background1" w:themeShade="80"/>
        </w:rPr>
      </w:pPr>
      <w:r w:rsidRPr="00975D6A">
        <w:rPr>
          <w:color w:val="808080" w:themeColor="background1" w:themeShade="80"/>
        </w:rPr>
        <w:t>Guidance: Laws, regulations, administrative orders relevant to the subsidy</w:t>
      </w:r>
    </w:p>
    <w:p w14:paraId="083F6BA5" w14:textId="6942A607" w:rsidR="00B44999" w:rsidRPr="00975D6A" w:rsidRDefault="00B44999" w:rsidP="00B44999">
      <w:pPr>
        <w:rPr>
          <w:color w:val="808080" w:themeColor="background1" w:themeShade="80"/>
        </w:rPr>
      </w:pPr>
      <w:r w:rsidRPr="00975D6A">
        <w:rPr>
          <w:color w:val="808080" w:themeColor="background1" w:themeShade="80"/>
        </w:rPr>
        <w:t>Entry:</w:t>
      </w:r>
    </w:p>
    <w:p w14:paraId="243512FF" w14:textId="77777777" w:rsidR="00B44999" w:rsidRPr="004D0470" w:rsidRDefault="00B44999" w:rsidP="00E671BD">
      <w:pPr>
        <w:pStyle w:val="Heading4"/>
      </w:pPr>
      <w:r w:rsidRPr="004D0470">
        <w:t>Stated policy objectives</w:t>
      </w:r>
    </w:p>
    <w:p w14:paraId="23268BF1" w14:textId="77777777" w:rsidR="00B44999" w:rsidRPr="00975D6A" w:rsidRDefault="00B44999" w:rsidP="00B44999">
      <w:pPr>
        <w:rPr>
          <w:color w:val="808080" w:themeColor="background1" w:themeShade="80"/>
        </w:rPr>
      </w:pPr>
      <w:r w:rsidRPr="00975D6A">
        <w:rPr>
          <w:color w:val="808080" w:themeColor="background1" w:themeShade="80"/>
        </w:rPr>
        <w:t>Guidance: Objectives stated in legislation or government documents</w:t>
      </w:r>
    </w:p>
    <w:p w14:paraId="00D9A9E1" w14:textId="29520E65" w:rsidR="00B44999" w:rsidRPr="00975D6A" w:rsidRDefault="00B44999" w:rsidP="00B44999">
      <w:pPr>
        <w:rPr>
          <w:color w:val="808080" w:themeColor="background1" w:themeShade="80"/>
        </w:rPr>
      </w:pPr>
      <w:r w:rsidRPr="00975D6A">
        <w:rPr>
          <w:color w:val="808080" w:themeColor="background1" w:themeShade="80"/>
        </w:rPr>
        <w:t xml:space="preserve">Entry: </w:t>
      </w:r>
    </w:p>
    <w:p w14:paraId="3956C8A6" w14:textId="77777777" w:rsidR="00B44999" w:rsidRPr="004D0470" w:rsidRDefault="00B44999" w:rsidP="00E671BD">
      <w:pPr>
        <w:pStyle w:val="Heading4"/>
      </w:pPr>
      <w:r w:rsidRPr="004D0470">
        <w:t>Government bodies involved in implementing the scheme</w:t>
      </w:r>
    </w:p>
    <w:p w14:paraId="515C4CB7" w14:textId="77777777" w:rsidR="00B44999" w:rsidRPr="00975D6A" w:rsidRDefault="00B44999" w:rsidP="00B44999">
      <w:pPr>
        <w:rPr>
          <w:color w:val="808080" w:themeColor="background1" w:themeShade="80"/>
        </w:rPr>
      </w:pPr>
      <w:r w:rsidRPr="00975D6A">
        <w:rPr>
          <w:color w:val="808080" w:themeColor="background1" w:themeShade="80"/>
        </w:rPr>
        <w:t>Guidance: List ministries, agencies, and institutions</w:t>
      </w:r>
    </w:p>
    <w:p w14:paraId="5CF7E790" w14:textId="137C7CD3" w:rsidR="00B44999" w:rsidRPr="00975D6A" w:rsidRDefault="00B44999" w:rsidP="00B44999">
      <w:pPr>
        <w:rPr>
          <w:color w:val="808080" w:themeColor="background1" w:themeShade="80"/>
        </w:rPr>
      </w:pPr>
      <w:r w:rsidRPr="00975D6A">
        <w:rPr>
          <w:color w:val="808080" w:themeColor="background1" w:themeShade="80"/>
        </w:rPr>
        <w:t>Entry:</w:t>
      </w:r>
    </w:p>
    <w:p w14:paraId="2D7B6C69" w14:textId="77777777" w:rsidR="00B44999" w:rsidRPr="004D0470" w:rsidRDefault="00B44999" w:rsidP="00E671BD">
      <w:pPr>
        <w:pStyle w:val="Heading4"/>
      </w:pPr>
      <w:r w:rsidRPr="004D0470">
        <w:t>Disbursement mechanism</w:t>
      </w:r>
    </w:p>
    <w:p w14:paraId="72FABD9A" w14:textId="77777777" w:rsidR="00B44999" w:rsidRPr="00975D6A" w:rsidRDefault="00B44999" w:rsidP="00B44999">
      <w:pPr>
        <w:rPr>
          <w:color w:val="808080" w:themeColor="background1" w:themeShade="80"/>
        </w:rPr>
      </w:pPr>
      <w:r w:rsidRPr="00975D6A">
        <w:rPr>
          <w:color w:val="808080" w:themeColor="background1" w:themeShade="80"/>
        </w:rPr>
        <w:t>Guidance: Indicate whether the subsidy is a direct transfer, tax expenditure, induced transfer (income or price support), or transfer of risk to government</w:t>
      </w:r>
    </w:p>
    <w:p w14:paraId="1848A566" w14:textId="29CD5570" w:rsidR="00B44999" w:rsidRDefault="00B44999" w:rsidP="00B44999">
      <w:pPr>
        <w:rPr>
          <w:color w:val="808080" w:themeColor="background1" w:themeShade="80"/>
        </w:rPr>
      </w:pPr>
      <w:r w:rsidRPr="00975D6A">
        <w:rPr>
          <w:color w:val="808080" w:themeColor="background1" w:themeShade="80"/>
        </w:rPr>
        <w:t xml:space="preserve">Entry: </w:t>
      </w:r>
    </w:p>
    <w:p w14:paraId="35FDF5A0" w14:textId="77777777" w:rsidR="00B44999" w:rsidRPr="004D0470" w:rsidRDefault="00B44999" w:rsidP="0070413C">
      <w:pPr>
        <w:pStyle w:val="Heading4"/>
      </w:pPr>
      <w:r w:rsidRPr="004D0470">
        <w:lastRenderedPageBreak/>
        <w:t>Stimulated activity</w:t>
      </w:r>
    </w:p>
    <w:p w14:paraId="6AC4BE1C" w14:textId="77777777" w:rsidR="00B44999" w:rsidRPr="0063418B" w:rsidRDefault="00B44999" w:rsidP="00B44999">
      <w:pPr>
        <w:rPr>
          <w:color w:val="808080" w:themeColor="background1" w:themeShade="80"/>
        </w:rPr>
      </w:pPr>
      <w:r w:rsidRPr="0063418B">
        <w:rPr>
          <w:color w:val="808080" w:themeColor="background1" w:themeShade="80"/>
        </w:rPr>
        <w:t xml:space="preserve">Guidance: Choose which activity is stimulated with the subsidy: exploration, extraction, transportation (e.g., via pipelines) of fossil fuels, use in power and heat generation, or end use (e.g., consumption of electricity, sales of motor fuels). </w:t>
      </w:r>
    </w:p>
    <w:p w14:paraId="18BE20D9" w14:textId="455378A9" w:rsidR="00B44999" w:rsidRPr="0063418B" w:rsidRDefault="00B44999" w:rsidP="00B44999">
      <w:pPr>
        <w:rPr>
          <w:color w:val="808080" w:themeColor="background1" w:themeShade="80"/>
        </w:rPr>
      </w:pPr>
      <w:r w:rsidRPr="0063418B">
        <w:rPr>
          <w:color w:val="808080" w:themeColor="background1" w:themeShade="80"/>
        </w:rPr>
        <w:t xml:space="preserve">Entry: </w:t>
      </w:r>
    </w:p>
    <w:p w14:paraId="50FEF53B" w14:textId="77777777" w:rsidR="00B44999" w:rsidRPr="004D0470" w:rsidRDefault="00B44999" w:rsidP="0070413C">
      <w:pPr>
        <w:pStyle w:val="Heading4"/>
      </w:pPr>
      <w:r w:rsidRPr="004D0470">
        <w:t>Fuel type</w:t>
      </w:r>
    </w:p>
    <w:p w14:paraId="6012AE73" w14:textId="77777777" w:rsidR="00B44999" w:rsidRPr="0063418B" w:rsidRDefault="00B44999" w:rsidP="00B44999">
      <w:pPr>
        <w:rPr>
          <w:color w:val="808080" w:themeColor="background1" w:themeShade="80"/>
        </w:rPr>
      </w:pPr>
      <w:r w:rsidRPr="0063418B">
        <w:rPr>
          <w:color w:val="808080" w:themeColor="background1" w:themeShade="80"/>
        </w:rPr>
        <w:t>Guidance: Coal, oil, gas, electricity, or derivatives</w:t>
      </w:r>
    </w:p>
    <w:p w14:paraId="47BB5FB2" w14:textId="2AF1BEF3" w:rsidR="00B44999" w:rsidRPr="0063418B" w:rsidRDefault="00B44999" w:rsidP="00B44999">
      <w:pPr>
        <w:rPr>
          <w:color w:val="808080" w:themeColor="background1" w:themeShade="80"/>
        </w:rPr>
      </w:pPr>
      <w:r w:rsidRPr="0063418B">
        <w:rPr>
          <w:color w:val="808080" w:themeColor="background1" w:themeShade="80"/>
        </w:rPr>
        <w:t>Entry:</w:t>
      </w:r>
    </w:p>
    <w:p w14:paraId="7A531B68" w14:textId="77777777" w:rsidR="00B44999" w:rsidRPr="004D0470" w:rsidRDefault="00B44999" w:rsidP="0070413C">
      <w:pPr>
        <w:pStyle w:val="Heading4"/>
      </w:pPr>
      <w:r w:rsidRPr="004D0470">
        <w:t>End recipients</w:t>
      </w:r>
    </w:p>
    <w:p w14:paraId="614F6CA0" w14:textId="77777777" w:rsidR="00B44999" w:rsidRPr="0063418B" w:rsidRDefault="00B44999" w:rsidP="00B44999">
      <w:pPr>
        <w:rPr>
          <w:color w:val="808080" w:themeColor="background1" w:themeShade="80"/>
        </w:rPr>
      </w:pPr>
      <w:r w:rsidRPr="0063418B">
        <w:rPr>
          <w:color w:val="808080" w:themeColor="background1" w:themeShade="80"/>
        </w:rPr>
        <w:t>Guidance: Main recipients of the scheme, i.e., households, commercial and industrial consumers, agriculture and fisheries, transport operators, utilities, public institutions, targeted social or geographic groups, fossil fuel producers, or other beneficiaries</w:t>
      </w:r>
    </w:p>
    <w:p w14:paraId="3F071C1A" w14:textId="17373B22" w:rsidR="00B44999" w:rsidRPr="0063418B" w:rsidRDefault="00B44999" w:rsidP="00B44999">
      <w:pPr>
        <w:rPr>
          <w:color w:val="808080" w:themeColor="background1" w:themeShade="80"/>
        </w:rPr>
      </w:pPr>
      <w:r w:rsidRPr="0063418B">
        <w:rPr>
          <w:color w:val="808080" w:themeColor="background1" w:themeShade="80"/>
        </w:rPr>
        <w:t>Entry:</w:t>
      </w:r>
    </w:p>
    <w:p w14:paraId="0ECDF374" w14:textId="77777777" w:rsidR="00B44999" w:rsidRPr="004D0470" w:rsidRDefault="00B44999" w:rsidP="0070413C">
      <w:pPr>
        <w:pStyle w:val="Heading4"/>
      </w:pPr>
      <w:r w:rsidRPr="004D0470">
        <w:t>Time period</w:t>
      </w:r>
    </w:p>
    <w:p w14:paraId="0E017319" w14:textId="77777777" w:rsidR="00B44999" w:rsidRPr="0063418B" w:rsidRDefault="00B44999" w:rsidP="0063418B">
      <w:pPr>
        <w:rPr>
          <w:color w:val="808080" w:themeColor="background1" w:themeShade="80"/>
        </w:rPr>
      </w:pPr>
      <w:r w:rsidRPr="0063418B">
        <w:rPr>
          <w:color w:val="808080" w:themeColor="background1" w:themeShade="80"/>
        </w:rPr>
        <w:t>Guidance: Start and end dates of the scheme</w:t>
      </w:r>
    </w:p>
    <w:p w14:paraId="68A94445" w14:textId="317D729E" w:rsidR="00B44999" w:rsidRPr="0063418B" w:rsidRDefault="00B44999" w:rsidP="00B44999">
      <w:pPr>
        <w:rPr>
          <w:color w:val="808080" w:themeColor="background1" w:themeShade="80"/>
        </w:rPr>
      </w:pPr>
      <w:r w:rsidRPr="0063418B">
        <w:rPr>
          <w:color w:val="808080" w:themeColor="background1" w:themeShade="80"/>
        </w:rPr>
        <w:t xml:space="preserve">Entry: </w:t>
      </w:r>
    </w:p>
    <w:p w14:paraId="40AD0221" w14:textId="77777777" w:rsidR="00B44999" w:rsidRPr="004D0470" w:rsidRDefault="00B44999" w:rsidP="0070413C">
      <w:pPr>
        <w:pStyle w:val="Heading4"/>
      </w:pPr>
      <w:r w:rsidRPr="004D0470">
        <w:t>Amount</w:t>
      </w:r>
    </w:p>
    <w:p w14:paraId="48377784" w14:textId="77777777" w:rsidR="00B44999" w:rsidRPr="0063418B" w:rsidRDefault="00B44999" w:rsidP="00B44999">
      <w:pPr>
        <w:rPr>
          <w:color w:val="808080" w:themeColor="background1" w:themeShade="80"/>
        </w:rPr>
      </w:pPr>
      <w:r w:rsidRPr="0063418B">
        <w:rPr>
          <w:color w:val="808080" w:themeColor="background1" w:themeShade="80"/>
        </w:rPr>
        <w:t>Guidance: Amount disbursed or revenue foregone due to the scheme in a given year</w:t>
      </w:r>
    </w:p>
    <w:p w14:paraId="12F0E064" w14:textId="34A2F762" w:rsidR="00B44999" w:rsidRPr="0063418B" w:rsidRDefault="00B44999" w:rsidP="00B44999">
      <w:pPr>
        <w:rPr>
          <w:color w:val="808080" w:themeColor="background1" w:themeShade="80"/>
        </w:rPr>
      </w:pPr>
      <w:r w:rsidRPr="0063418B">
        <w:rPr>
          <w:color w:val="808080" w:themeColor="background1" w:themeShade="80"/>
        </w:rPr>
        <w:t>Entry:</w:t>
      </w:r>
    </w:p>
    <w:p w14:paraId="3DDD2336" w14:textId="77777777" w:rsidR="00B44999" w:rsidRPr="004D0470" w:rsidRDefault="00B44999" w:rsidP="0070413C">
      <w:pPr>
        <w:pStyle w:val="Heading4"/>
      </w:pPr>
      <w:r w:rsidRPr="004D0470">
        <w:t>Estimation method</w:t>
      </w:r>
    </w:p>
    <w:p w14:paraId="679CA203" w14:textId="77777777" w:rsidR="00B44999" w:rsidRPr="0063418B" w:rsidRDefault="00B44999" w:rsidP="00B44999">
      <w:pPr>
        <w:rPr>
          <w:color w:val="808080" w:themeColor="background1" w:themeShade="80"/>
        </w:rPr>
      </w:pPr>
      <w:r w:rsidRPr="0063418B">
        <w:rPr>
          <w:color w:val="808080" w:themeColor="background1" w:themeShade="80"/>
        </w:rPr>
        <w:t>Guidance: Describe how the subsidy amount was calculated</w:t>
      </w:r>
    </w:p>
    <w:p w14:paraId="7F002D4B" w14:textId="6AF9383A" w:rsidR="00B44999" w:rsidRPr="0063418B" w:rsidRDefault="00B44999" w:rsidP="00B44999">
      <w:pPr>
        <w:rPr>
          <w:color w:val="808080" w:themeColor="background1" w:themeShade="80"/>
        </w:rPr>
      </w:pPr>
      <w:r w:rsidRPr="0063418B">
        <w:rPr>
          <w:color w:val="808080" w:themeColor="background1" w:themeShade="80"/>
        </w:rPr>
        <w:t xml:space="preserve">Entry: </w:t>
      </w:r>
    </w:p>
    <w:p w14:paraId="44D69F24" w14:textId="77777777" w:rsidR="00B44999" w:rsidRPr="004D0470" w:rsidRDefault="00B44999" w:rsidP="0070413C">
      <w:pPr>
        <w:pStyle w:val="Heading4"/>
      </w:pPr>
      <w:r w:rsidRPr="004D0470">
        <w:t>Jurisdiction</w:t>
      </w:r>
    </w:p>
    <w:p w14:paraId="78A3FC85" w14:textId="26381A52" w:rsidR="00B44999" w:rsidRPr="0063418B" w:rsidRDefault="00B44999" w:rsidP="00B44999">
      <w:pPr>
        <w:rPr>
          <w:color w:val="808080" w:themeColor="background1" w:themeShade="80"/>
        </w:rPr>
      </w:pPr>
      <w:r w:rsidRPr="0063418B">
        <w:rPr>
          <w:color w:val="808080" w:themeColor="background1" w:themeShade="80"/>
        </w:rPr>
        <w:t>Guidance: National/subnational</w:t>
      </w:r>
    </w:p>
    <w:p w14:paraId="461B6F5B" w14:textId="75EEE9CD" w:rsidR="00B44999" w:rsidRDefault="00B44999" w:rsidP="00B44999">
      <w:pPr>
        <w:rPr>
          <w:color w:val="808080" w:themeColor="background1" w:themeShade="80"/>
        </w:rPr>
      </w:pPr>
      <w:r w:rsidRPr="0063418B">
        <w:rPr>
          <w:color w:val="808080" w:themeColor="background1" w:themeShade="80"/>
        </w:rPr>
        <w:t xml:space="preserve">Entry: </w:t>
      </w:r>
    </w:p>
    <w:p w14:paraId="258BC569" w14:textId="77777777" w:rsidR="00B44999" w:rsidRPr="004D0470" w:rsidRDefault="00B44999" w:rsidP="00CC0E22">
      <w:pPr>
        <w:pStyle w:val="Heading4"/>
      </w:pPr>
      <w:r w:rsidRPr="004D0470">
        <w:t>Impacts on greenhouse gas emissions (if available)</w:t>
      </w:r>
    </w:p>
    <w:p w14:paraId="7E210E54" w14:textId="77777777" w:rsidR="00B44999" w:rsidRPr="003F0A66" w:rsidRDefault="00B44999" w:rsidP="00B44999">
      <w:pPr>
        <w:rPr>
          <w:color w:val="808080" w:themeColor="background1" w:themeShade="80"/>
        </w:rPr>
      </w:pPr>
      <w:r w:rsidRPr="003F0A66">
        <w:rPr>
          <w:color w:val="808080" w:themeColor="background1" w:themeShade="80"/>
        </w:rPr>
        <w:t xml:space="preserve">Guidance: Summary of preliminary impact assessment of greenhouse gas emissions </w:t>
      </w:r>
    </w:p>
    <w:p w14:paraId="552FADC4" w14:textId="698C4A7E" w:rsidR="00B44999" w:rsidRPr="003F0A66" w:rsidRDefault="00B44999" w:rsidP="00B44999">
      <w:pPr>
        <w:rPr>
          <w:color w:val="808080" w:themeColor="background1" w:themeShade="80"/>
        </w:rPr>
      </w:pPr>
      <w:r w:rsidRPr="003F0A66">
        <w:rPr>
          <w:color w:val="808080" w:themeColor="background1" w:themeShade="80"/>
        </w:rPr>
        <w:t xml:space="preserve">Entry: </w:t>
      </w:r>
    </w:p>
    <w:p w14:paraId="67EBABAE" w14:textId="77777777" w:rsidR="00B44999" w:rsidRPr="004D0470" w:rsidRDefault="00B44999" w:rsidP="00CC0E22">
      <w:pPr>
        <w:pStyle w:val="Heading4"/>
      </w:pPr>
      <w:r w:rsidRPr="004D0470">
        <w:lastRenderedPageBreak/>
        <w:t>Socio-economic impacts (if available)</w:t>
      </w:r>
    </w:p>
    <w:p w14:paraId="572627EC" w14:textId="77777777" w:rsidR="00B44999" w:rsidRPr="003F0A66" w:rsidRDefault="00B44999" w:rsidP="00B44999">
      <w:pPr>
        <w:rPr>
          <w:color w:val="808080" w:themeColor="background1" w:themeShade="80"/>
        </w:rPr>
      </w:pPr>
      <w:r w:rsidRPr="003F0A66">
        <w:rPr>
          <w:color w:val="808080" w:themeColor="background1" w:themeShade="80"/>
        </w:rPr>
        <w:t>Guidance: Summary of preliminary assessment on poverty and inequality</w:t>
      </w:r>
    </w:p>
    <w:p w14:paraId="6DD67048" w14:textId="3E8D81FE" w:rsidR="00B44999" w:rsidRPr="003F0A66" w:rsidRDefault="00B44999" w:rsidP="00B44999">
      <w:pPr>
        <w:rPr>
          <w:color w:val="808080" w:themeColor="background1" w:themeShade="80"/>
        </w:rPr>
      </w:pPr>
      <w:r w:rsidRPr="003F0A66">
        <w:rPr>
          <w:color w:val="808080" w:themeColor="background1" w:themeShade="80"/>
        </w:rPr>
        <w:t>Entry:</w:t>
      </w:r>
    </w:p>
    <w:p w14:paraId="1D244C21" w14:textId="77777777" w:rsidR="00B44999" w:rsidRPr="004D0470" w:rsidRDefault="00B44999" w:rsidP="00CC0E22">
      <w:pPr>
        <w:pStyle w:val="Heading4"/>
      </w:pPr>
      <w:r w:rsidRPr="004D0470">
        <w:t>Optional: Policy relevance and efficiency assessment</w:t>
      </w:r>
    </w:p>
    <w:p w14:paraId="14894F41" w14:textId="77777777" w:rsidR="00B44999" w:rsidRPr="003F0A66" w:rsidRDefault="00B44999" w:rsidP="00B44999">
      <w:pPr>
        <w:rPr>
          <w:color w:val="808080" w:themeColor="background1" w:themeShade="80"/>
        </w:rPr>
      </w:pPr>
      <w:r w:rsidRPr="003F0A66">
        <w:rPr>
          <w:color w:val="808080" w:themeColor="background1" w:themeShade="80"/>
        </w:rPr>
        <w:t>Guidance: Assess whether the subsidy’s objectives remain relevant and whether they can be achieved with a different policy at a lower cost, in a more targeted way, and with fewer negative impacts.</w:t>
      </w:r>
    </w:p>
    <w:p w14:paraId="72B22C1B" w14:textId="55C0D37A" w:rsidR="00B44999" w:rsidRPr="003F0A66" w:rsidRDefault="00B44999" w:rsidP="00B44999">
      <w:pPr>
        <w:rPr>
          <w:color w:val="808080" w:themeColor="background1" w:themeShade="80"/>
        </w:rPr>
      </w:pPr>
      <w:r w:rsidRPr="003F0A66">
        <w:rPr>
          <w:color w:val="808080" w:themeColor="background1" w:themeShade="80"/>
        </w:rPr>
        <w:t>Entry:</w:t>
      </w:r>
    </w:p>
    <w:p w14:paraId="5FEF204F" w14:textId="77777777" w:rsidR="00B44999" w:rsidRPr="004D0470" w:rsidRDefault="00B44999" w:rsidP="00CC0E22">
      <w:pPr>
        <w:pStyle w:val="Heading4"/>
      </w:pPr>
      <w:r w:rsidRPr="004D0470">
        <w:t>Information sources</w:t>
      </w:r>
    </w:p>
    <w:p w14:paraId="73B74D9D" w14:textId="77777777" w:rsidR="00B44999" w:rsidRPr="003F0A66" w:rsidRDefault="00B44999" w:rsidP="00B44999">
      <w:pPr>
        <w:rPr>
          <w:color w:val="808080" w:themeColor="background1" w:themeShade="80"/>
        </w:rPr>
      </w:pPr>
      <w:r w:rsidRPr="003F0A66">
        <w:rPr>
          <w:color w:val="808080" w:themeColor="background1" w:themeShade="80"/>
        </w:rPr>
        <w:t>Guidance: Budget documents, statistics, laws, reports, etc.</w:t>
      </w:r>
    </w:p>
    <w:p w14:paraId="09286767" w14:textId="379678A0" w:rsidR="004004EC" w:rsidRPr="003F0A66" w:rsidRDefault="00B44999" w:rsidP="00B44999">
      <w:pPr>
        <w:rPr>
          <w:color w:val="808080" w:themeColor="background1" w:themeShade="80"/>
        </w:rPr>
      </w:pPr>
      <w:r w:rsidRPr="003F0A66">
        <w:rPr>
          <w:color w:val="808080" w:themeColor="background1" w:themeShade="80"/>
        </w:rPr>
        <w:t xml:space="preserve">Entry: </w:t>
      </w:r>
    </w:p>
    <w:p w14:paraId="7FAD368F" w14:textId="229E5843" w:rsidR="003F0A66" w:rsidRDefault="003F0A66">
      <w:pPr>
        <w:spacing w:after="200" w:line="276" w:lineRule="auto"/>
      </w:pPr>
      <w:r>
        <w:br w:type="page"/>
      </w:r>
    </w:p>
    <w:p w14:paraId="2FACB66B" w14:textId="6EAAD310" w:rsidR="004004EC" w:rsidRDefault="002026DB" w:rsidP="002026DB">
      <w:pPr>
        <w:pStyle w:val="Heading1"/>
      </w:pPr>
      <w:bookmarkStart w:id="8" w:name="_Toc216254228"/>
      <w:r w:rsidRPr="002026DB">
        <w:lastRenderedPageBreak/>
        <w:t>Appendix A. Example of a Detailed Subsidy Description by the Government of Energia</w:t>
      </w:r>
      <w:r>
        <w:rPr>
          <w:rStyle w:val="FootnoteReference"/>
        </w:rPr>
        <w:footnoteReference w:id="1"/>
      </w:r>
      <w:bookmarkEnd w:id="8"/>
    </w:p>
    <w:p w14:paraId="7A64A154" w14:textId="0876C69E" w:rsidR="004004EC" w:rsidRPr="00502B15" w:rsidRDefault="00546358" w:rsidP="00CC0E22">
      <w:pPr>
        <w:pStyle w:val="Heading2"/>
      </w:pPr>
      <w:r w:rsidRPr="00502B15">
        <w:t>Subsidy 1: Temporary Energy Cost Containment Scheme</w:t>
      </w:r>
    </w:p>
    <w:p w14:paraId="343A2048" w14:textId="77777777" w:rsidR="004D0470" w:rsidRPr="004D0470" w:rsidRDefault="004D0470" w:rsidP="00CC0E22">
      <w:pPr>
        <w:pStyle w:val="Heading4"/>
      </w:pPr>
      <w:r w:rsidRPr="004D0470">
        <w:t>Subsidy name</w:t>
      </w:r>
    </w:p>
    <w:p w14:paraId="34F52D25" w14:textId="77777777" w:rsidR="004D0470" w:rsidRDefault="004D0470" w:rsidP="004D0470">
      <w:r>
        <w:t>Guidance: Enter the subsidy name</w:t>
      </w:r>
    </w:p>
    <w:p w14:paraId="3CD1A6C1" w14:textId="77777777" w:rsidR="004D0470" w:rsidRDefault="004D0470" w:rsidP="004D0470">
      <w:r>
        <w:t>Entry: Temporary Energy Cost Containment Scheme</w:t>
      </w:r>
    </w:p>
    <w:p w14:paraId="51F70A70" w14:textId="77777777" w:rsidR="004D0470" w:rsidRPr="004D0470" w:rsidRDefault="004D0470" w:rsidP="00CC0E22">
      <w:pPr>
        <w:pStyle w:val="Heading4"/>
      </w:pPr>
      <w:r w:rsidRPr="004D0470">
        <w:t>Background</w:t>
      </w:r>
    </w:p>
    <w:p w14:paraId="0D5839BE" w14:textId="77777777" w:rsidR="004D0470" w:rsidRDefault="004D0470" w:rsidP="004D0470">
      <w:r>
        <w:t>Guidance: Full description including context, funding, evolution, and disbursement</w:t>
      </w:r>
    </w:p>
    <w:p w14:paraId="0CABD357" w14:textId="77777777" w:rsidR="004D0470" w:rsidRDefault="004D0470" w:rsidP="004D0470">
      <w:r>
        <w:t xml:space="preserve">Entry: In response to rapid increases in gas prices in 2022, the government introduced the Temporary Energy Cost Containment Scheme (TECCS). The scheme capped retail electricity prices for households at EUR 0.5 per kilowatt-hour (kWh) for 70% of their previous year’s consumption, starting from January 2023. The government is compensating electricity distribution companies for the difference between the capped price paid by households and companies’ supply costs, based on wholesale electricity prices. After gas prices stabilized in 2024, the electricity price cap was increased to EUR 0.65/kWh, and the subsidy was limited to 50% of households’ consumption in the previous year, resulting in a substantial decrease in the subsidy amounts post-2023. </w:t>
      </w:r>
    </w:p>
    <w:p w14:paraId="36D7759E" w14:textId="77777777" w:rsidR="004D0470" w:rsidRPr="004D0470" w:rsidRDefault="004D0470" w:rsidP="00CC0E22">
      <w:pPr>
        <w:pStyle w:val="Heading4"/>
      </w:pPr>
      <w:r w:rsidRPr="004D0470">
        <w:t>Legislative/executive basis</w:t>
      </w:r>
    </w:p>
    <w:p w14:paraId="02C7ED0B" w14:textId="77777777" w:rsidR="004D0470" w:rsidRDefault="004D0470" w:rsidP="004D0470">
      <w:r>
        <w:t>Guidance: Laws, regulations, administrative orders relevant to the subsidy</w:t>
      </w:r>
    </w:p>
    <w:p w14:paraId="4ADD6CC7" w14:textId="77777777" w:rsidR="004D0470" w:rsidRDefault="004D0470" w:rsidP="004D0470">
      <w:r>
        <w:t xml:space="preserve">Entry: </w:t>
      </w:r>
    </w:p>
    <w:p w14:paraId="2BA2E776" w14:textId="58E9202F" w:rsidR="004D0470" w:rsidRDefault="004D0470" w:rsidP="004D0470">
      <w:pPr>
        <w:pStyle w:val="ListParagraph"/>
        <w:numPr>
          <w:ilvl w:val="0"/>
          <w:numId w:val="9"/>
        </w:numPr>
      </w:pPr>
      <w:r>
        <w:t>Decree-Law No. 12/2023 on Extraordinary Measures in Response to the Cost-of-Living Crisis</w:t>
      </w:r>
    </w:p>
    <w:p w14:paraId="23966A31" w14:textId="30116082" w:rsidR="004D0470" w:rsidRDefault="004D0470" w:rsidP="004D0470">
      <w:pPr>
        <w:pStyle w:val="ListParagraph"/>
        <w:numPr>
          <w:ilvl w:val="0"/>
          <w:numId w:val="9"/>
        </w:numPr>
      </w:pPr>
      <w:r>
        <w:t>Implementing Act No. 2023/4 on the Reimbursement of Utilities under the Temporary Energy Cost Containment Scheme</w:t>
      </w:r>
    </w:p>
    <w:p w14:paraId="027E7EE1" w14:textId="04EDACC5" w:rsidR="004D0470" w:rsidRPr="004D0470" w:rsidRDefault="004D0470" w:rsidP="00CC0E22">
      <w:pPr>
        <w:pStyle w:val="Heading4"/>
      </w:pPr>
      <w:r w:rsidRPr="004D0470">
        <w:t>Stated policy objectives</w:t>
      </w:r>
    </w:p>
    <w:p w14:paraId="49D61C62" w14:textId="77777777" w:rsidR="004D0470" w:rsidRDefault="004D0470" w:rsidP="004D0470">
      <w:r>
        <w:t>Guidance: Objectives stated in legislation or government documents</w:t>
      </w:r>
    </w:p>
    <w:p w14:paraId="360BC09C" w14:textId="77777777" w:rsidR="004D0470" w:rsidRDefault="004D0470" w:rsidP="004D0470">
      <w:r>
        <w:t>Entry: “…to ensure the affordability and continuity of essential energy services during this period of market instability and cost-of-living crisis…”</w:t>
      </w:r>
    </w:p>
    <w:p w14:paraId="30B7899B" w14:textId="77777777" w:rsidR="004D0470" w:rsidRPr="004D0470" w:rsidRDefault="004D0470" w:rsidP="00CC0E22">
      <w:pPr>
        <w:pStyle w:val="Heading4"/>
      </w:pPr>
      <w:r w:rsidRPr="004D0470">
        <w:lastRenderedPageBreak/>
        <w:t>Government bodies involved in implementing the scheme</w:t>
      </w:r>
    </w:p>
    <w:p w14:paraId="0C26B988" w14:textId="77777777" w:rsidR="004D0470" w:rsidRDefault="004D0470" w:rsidP="004D0470">
      <w:r>
        <w:t>Guidance: List ministries, agencies, and institutions</w:t>
      </w:r>
    </w:p>
    <w:p w14:paraId="44A84F0D" w14:textId="77777777" w:rsidR="004D0470" w:rsidRDefault="004D0470" w:rsidP="004D0470">
      <w:r>
        <w:t>Entry: Ministry of Finance, Ministry of Energy, National Energy Agency, National Energy Regulator</w:t>
      </w:r>
    </w:p>
    <w:p w14:paraId="3F1AF3C6" w14:textId="77777777" w:rsidR="004D0470" w:rsidRPr="004D0470" w:rsidRDefault="004D0470" w:rsidP="00CC0E22">
      <w:pPr>
        <w:pStyle w:val="Heading4"/>
      </w:pPr>
      <w:r w:rsidRPr="004D0470">
        <w:t>Disbursement mechanism</w:t>
      </w:r>
    </w:p>
    <w:p w14:paraId="0806DB02" w14:textId="77777777" w:rsidR="004D0470" w:rsidRDefault="004D0470" w:rsidP="004D0470">
      <w:r>
        <w:t>Guidance: Indicate whether the subsidy is a direct transfer, tax expenditure, induced transfer (income or price support), or transfer of risk to government</w:t>
      </w:r>
    </w:p>
    <w:p w14:paraId="0A0C9AAC" w14:textId="77777777" w:rsidR="004D0470" w:rsidRDefault="004D0470" w:rsidP="004D0470">
      <w:r>
        <w:t>Entry: induced transfer (price support), with semi-annual transfers of compensation to electricity distribution companies from the federal budget</w:t>
      </w:r>
    </w:p>
    <w:p w14:paraId="20965BC7" w14:textId="77777777" w:rsidR="004D0470" w:rsidRPr="004D0470" w:rsidRDefault="004D0470" w:rsidP="00CC0E22">
      <w:pPr>
        <w:pStyle w:val="Heading4"/>
      </w:pPr>
      <w:r w:rsidRPr="004D0470">
        <w:t>Stimulated activity</w:t>
      </w:r>
    </w:p>
    <w:p w14:paraId="434BA9F9" w14:textId="77777777" w:rsidR="004D0470" w:rsidRDefault="004D0470" w:rsidP="004D0470">
      <w:r>
        <w:t xml:space="preserve">Guidance: Choose which activity is stimulated with the subsidy: exploration, extraction, transportation (e.g., via pipelines) of fossil fuels, use in power and heat generation, or end use (e.g., consumption of electricity, sales of motor fuels). </w:t>
      </w:r>
    </w:p>
    <w:p w14:paraId="48C496A4" w14:textId="77777777" w:rsidR="004D0470" w:rsidRDefault="004D0470" w:rsidP="004D0470">
      <w:r>
        <w:t>Entry: use of electricity (sourced from multiple sources, including gas and coal)</w:t>
      </w:r>
    </w:p>
    <w:p w14:paraId="38D3DB9C" w14:textId="77777777" w:rsidR="004D0470" w:rsidRPr="004D0470" w:rsidRDefault="004D0470" w:rsidP="00CC0E22">
      <w:pPr>
        <w:pStyle w:val="Heading4"/>
      </w:pPr>
      <w:r w:rsidRPr="004D0470">
        <w:t>Fuel type</w:t>
      </w:r>
    </w:p>
    <w:p w14:paraId="329CB4D5" w14:textId="77777777" w:rsidR="004D0470" w:rsidRDefault="004D0470" w:rsidP="004D0470">
      <w:r>
        <w:t>Guidance: Coal, oil, gas, electricity, or derivatives</w:t>
      </w:r>
    </w:p>
    <w:p w14:paraId="40D21BF5" w14:textId="77777777" w:rsidR="004D0470" w:rsidRDefault="004D0470" w:rsidP="004D0470">
      <w:r>
        <w:t xml:space="preserve">Entry: electricity (fossil fuel share in the public generation mix varies year-on-year, with around 21.5% sourced from lignite and hard coal and 12% from fossil gas in 2023). </w:t>
      </w:r>
    </w:p>
    <w:p w14:paraId="578751E8" w14:textId="77777777" w:rsidR="004D0470" w:rsidRPr="004D0470" w:rsidRDefault="004D0470" w:rsidP="00CC0E22">
      <w:pPr>
        <w:pStyle w:val="Heading4"/>
      </w:pPr>
      <w:r w:rsidRPr="004D0470">
        <w:t>End recipients</w:t>
      </w:r>
    </w:p>
    <w:p w14:paraId="7D5E0B31" w14:textId="77777777" w:rsidR="004D0470" w:rsidRDefault="004D0470" w:rsidP="004D0470">
      <w:r>
        <w:t>Guidance: Main recipients of the scheme, i.e., households, commercial and industrial consumers, agriculture and fisheries, transport operators, utilities, public institutions, targeted social or geographic groups, fossil fuel producers, or other beneficiaries</w:t>
      </w:r>
    </w:p>
    <w:p w14:paraId="1BE055CF" w14:textId="77777777" w:rsidR="004D0470" w:rsidRDefault="004D0470" w:rsidP="004D0470">
      <w:r>
        <w:t>Entry: households (100%)</w:t>
      </w:r>
    </w:p>
    <w:p w14:paraId="0848952F" w14:textId="77777777" w:rsidR="004D0470" w:rsidRPr="004D0470" w:rsidRDefault="004D0470" w:rsidP="00CC0E22">
      <w:pPr>
        <w:pStyle w:val="Heading4"/>
      </w:pPr>
      <w:r w:rsidRPr="004D0470">
        <w:t>Time period</w:t>
      </w:r>
    </w:p>
    <w:p w14:paraId="638FDB47" w14:textId="77777777" w:rsidR="004D0470" w:rsidRDefault="004D0470" w:rsidP="004D0470">
      <w:r>
        <w:t>Guidance: Start and end dates of the scheme</w:t>
      </w:r>
    </w:p>
    <w:p w14:paraId="20DC1D45" w14:textId="77777777" w:rsidR="004D0470" w:rsidRDefault="004D0470" w:rsidP="004D0470">
      <w:r>
        <w:t>Entry: January 2023 to December 2026 (planned)</w:t>
      </w:r>
    </w:p>
    <w:p w14:paraId="375B97D0" w14:textId="77777777" w:rsidR="004D0470" w:rsidRPr="004D0470" w:rsidRDefault="004D0470" w:rsidP="00CC0E22">
      <w:pPr>
        <w:pStyle w:val="Heading4"/>
      </w:pPr>
      <w:r w:rsidRPr="004D0470">
        <w:t>Amount</w:t>
      </w:r>
    </w:p>
    <w:p w14:paraId="4FDBE5CC" w14:textId="77777777" w:rsidR="004D0470" w:rsidRDefault="004D0470" w:rsidP="004D0470">
      <w:r>
        <w:t>Guidance: Amount disbursed or revenue foregone due to the scheme in a given year</w:t>
      </w:r>
    </w:p>
    <w:p w14:paraId="420B97C7" w14:textId="77777777" w:rsidR="004D0470" w:rsidRDefault="004D0470" w:rsidP="004D0470">
      <w:r>
        <w:t>Entry: EUR 7.37 billion (2023)</w:t>
      </w:r>
    </w:p>
    <w:p w14:paraId="51CA90DF" w14:textId="77777777" w:rsidR="004D0470" w:rsidRPr="004D0470" w:rsidRDefault="004D0470" w:rsidP="00CC0E22">
      <w:pPr>
        <w:pStyle w:val="Heading4"/>
      </w:pPr>
      <w:r w:rsidRPr="004D0470">
        <w:lastRenderedPageBreak/>
        <w:t>Estimation method</w:t>
      </w:r>
    </w:p>
    <w:p w14:paraId="6324A436" w14:textId="77777777" w:rsidR="004D0470" w:rsidRDefault="004D0470" w:rsidP="004D0470">
      <w:r>
        <w:t>Guidance: Describe how the subsidy amount was calculated</w:t>
      </w:r>
    </w:p>
    <w:p w14:paraId="0FBC865C" w14:textId="77777777" w:rsidR="004D0470" w:rsidRDefault="004D0470" w:rsidP="004D0470">
      <w:r>
        <w:t xml:space="preserve">Entry: The Ministry of Finance provided data on transfers to electricity distribution companies as a result of the scheme. Transfer amounts were calculated as the difference between retail costs paid by households and electricity supply costs (based on wholesale electricity prices) paid by distribution companies. This calculation was provided by distribution companies and verified by the National Energy Regulator. The final fossil fuel subsidy amount is calculated based on the share of fossil fuels in the generation mix. </w:t>
      </w:r>
    </w:p>
    <w:p w14:paraId="4E7B29A0" w14:textId="77777777" w:rsidR="004D0470" w:rsidRPr="004D0470" w:rsidRDefault="004D0470" w:rsidP="00CC0E22">
      <w:pPr>
        <w:pStyle w:val="Heading4"/>
      </w:pPr>
      <w:r w:rsidRPr="004D0470">
        <w:t>Jurisdiction</w:t>
      </w:r>
    </w:p>
    <w:p w14:paraId="65F8AD6C" w14:textId="062D7F6B" w:rsidR="004D0470" w:rsidRDefault="004D0470" w:rsidP="004D0470">
      <w:r>
        <w:t>Guidance: National/subnational</w:t>
      </w:r>
    </w:p>
    <w:p w14:paraId="10220152" w14:textId="77777777" w:rsidR="004D0470" w:rsidRDefault="004D0470" w:rsidP="004D0470">
      <w:r>
        <w:t>Entry: national</w:t>
      </w:r>
    </w:p>
    <w:p w14:paraId="03996EA6" w14:textId="77777777" w:rsidR="004D0470" w:rsidRPr="004D0470" w:rsidRDefault="004D0470" w:rsidP="00CC0E22">
      <w:pPr>
        <w:pStyle w:val="Heading4"/>
      </w:pPr>
      <w:r w:rsidRPr="004D0470">
        <w:t>Impacts on greenhouse gas emissions (if available)</w:t>
      </w:r>
    </w:p>
    <w:p w14:paraId="30369133" w14:textId="77777777" w:rsidR="004D0470" w:rsidRDefault="004D0470" w:rsidP="004D0470">
      <w:r>
        <w:t xml:space="preserve">Guidance: Summary of preliminary impact assessment of greenhouse gas emissions </w:t>
      </w:r>
    </w:p>
    <w:p w14:paraId="386D2287" w14:textId="77777777" w:rsidR="004D0470" w:rsidRDefault="004D0470" w:rsidP="004D0470">
      <w:r>
        <w:t>Entry: not estimated at this point</w:t>
      </w:r>
    </w:p>
    <w:p w14:paraId="4DD25615" w14:textId="77777777" w:rsidR="004D0470" w:rsidRPr="004D0470" w:rsidRDefault="004D0470" w:rsidP="00CC0E22">
      <w:pPr>
        <w:pStyle w:val="Heading4"/>
      </w:pPr>
      <w:r w:rsidRPr="004D0470">
        <w:t>Socio-economic impacts (if available)</w:t>
      </w:r>
    </w:p>
    <w:p w14:paraId="193D3095" w14:textId="77777777" w:rsidR="004D0470" w:rsidRDefault="004D0470" w:rsidP="004D0470">
      <w:r>
        <w:t>Guidance: Summary of preliminary assessment on poverty and inequality</w:t>
      </w:r>
    </w:p>
    <w:p w14:paraId="5B7D8C82" w14:textId="77777777" w:rsidR="004D0470" w:rsidRDefault="004D0470" w:rsidP="004D0470">
      <w:r>
        <w:t xml:space="preserve">Entry: The scheme contained the rise in electricity prices for households, with an average annual saving of EUR 320 per household. The scheme was instrumental in ensuring electricity affordability for 16% of households at risk of disconnection, based on current government data. At the same time, the scheme was not targeted at the poorest households, so the benefits were shared broadly by the whole population. </w:t>
      </w:r>
    </w:p>
    <w:p w14:paraId="7A8442E5" w14:textId="77777777" w:rsidR="004D0470" w:rsidRPr="004D0470" w:rsidRDefault="004D0470" w:rsidP="00CC0E22">
      <w:pPr>
        <w:pStyle w:val="Heading4"/>
      </w:pPr>
      <w:r w:rsidRPr="004D0470">
        <w:t>Optional: Policy relevance and efficiency assessment</w:t>
      </w:r>
    </w:p>
    <w:p w14:paraId="3F074C12" w14:textId="77777777" w:rsidR="004D0470" w:rsidRDefault="004D0470" w:rsidP="004D0470">
      <w:r>
        <w:t>Guidance: Assess whether the subsidy’s objectives remain relevant and whether they can be achieved with a different policy at a lower cost, in a more targeted way, and with fewer negative impacts.</w:t>
      </w:r>
    </w:p>
    <w:p w14:paraId="15FE1234" w14:textId="77777777" w:rsidR="004D0470" w:rsidRDefault="004D0470" w:rsidP="004D0470">
      <w:r>
        <w:t>Entry: The scheme was reassessed at the end of 2023 and revised in 2024 due to its burden on the budget; it is expected to end in 2026. The government is currently devising a blueprint for a more targeted policy, should similar price pressures arise in the future.</w:t>
      </w:r>
    </w:p>
    <w:p w14:paraId="42266E66" w14:textId="77777777" w:rsidR="004D0470" w:rsidRPr="004D0470" w:rsidRDefault="004D0470" w:rsidP="00CC0E22">
      <w:pPr>
        <w:pStyle w:val="Heading4"/>
        <w:rPr>
          <w:lang w:val="fr-FR"/>
        </w:rPr>
      </w:pPr>
      <w:r w:rsidRPr="004D0470">
        <w:rPr>
          <w:lang w:val="fr-FR"/>
        </w:rPr>
        <w:t>Information sources</w:t>
      </w:r>
    </w:p>
    <w:p w14:paraId="5766117A" w14:textId="77777777" w:rsidR="004D0470" w:rsidRPr="004D0470" w:rsidRDefault="004D0470" w:rsidP="004D0470">
      <w:pPr>
        <w:rPr>
          <w:lang w:val="fr-FR"/>
        </w:rPr>
      </w:pPr>
      <w:r w:rsidRPr="004D0470">
        <w:rPr>
          <w:lang w:val="fr-FR"/>
        </w:rPr>
        <w:t>Guidance: Budget documents, statistics, laws, reports, etc.</w:t>
      </w:r>
    </w:p>
    <w:p w14:paraId="7D10398E" w14:textId="04DC8618" w:rsidR="00A4023D" w:rsidRDefault="004D0470" w:rsidP="00B71D25">
      <w:r>
        <w:t>Entry: links to relevant documents</w:t>
      </w:r>
    </w:p>
    <w:p w14:paraId="16670C9E" w14:textId="77777777" w:rsidR="00A4023D" w:rsidRDefault="00A4023D" w:rsidP="00B71D25">
      <w:pPr>
        <w:sectPr w:rsidR="00A4023D" w:rsidSect="009D6708">
          <w:pgSz w:w="11906" w:h="16838" w:code="9"/>
          <w:pgMar w:top="1980" w:right="1440" w:bottom="1440" w:left="1440" w:header="720" w:footer="432" w:gutter="0"/>
          <w:cols w:space="720"/>
          <w:docGrid w:linePitch="360"/>
        </w:sectPr>
      </w:pPr>
    </w:p>
    <w:p w14:paraId="630596DD" w14:textId="0411C9D3" w:rsidR="009F1422" w:rsidRPr="00DC163F" w:rsidRDefault="006C0BCA" w:rsidP="00B71D25">
      <w:r>
        <w:rPr>
          <w:noProof/>
          <w:lang w:eastAsia="en-CA"/>
        </w:rPr>
        <w:lastRenderedPageBreak/>
        <mc:AlternateContent>
          <mc:Choice Requires="wps">
            <w:drawing>
              <wp:anchor distT="0" distB="0" distL="114300" distR="114300" simplePos="0" relativeHeight="251658240" behindDoc="0" locked="0" layoutInCell="1" allowOverlap="1" wp14:anchorId="0C892B2F" wp14:editId="5B0A5CA6">
                <wp:simplePos x="0" y="0"/>
                <wp:positionH relativeFrom="page">
                  <wp:posOffset>-107950</wp:posOffset>
                </wp:positionH>
                <wp:positionV relativeFrom="paragraph">
                  <wp:posOffset>-1314450</wp:posOffset>
                </wp:positionV>
                <wp:extent cx="7744570" cy="10775950"/>
                <wp:effectExtent l="0" t="0" r="8890" b="6350"/>
                <wp:wrapNone/>
                <wp:docPr id="16" name="Rectangle 16"/>
                <wp:cNvGraphicFramePr/>
                <a:graphic xmlns:a="http://schemas.openxmlformats.org/drawingml/2006/main">
                  <a:graphicData uri="http://schemas.microsoft.com/office/word/2010/wordprocessingShape">
                    <wps:wsp>
                      <wps:cNvSpPr/>
                      <wps:spPr>
                        <a:xfrm>
                          <a:off x="0" y="0"/>
                          <a:ext cx="7744570" cy="10775950"/>
                        </a:xfrm>
                        <a:prstGeom prst="rect">
                          <a:avLst/>
                        </a:prstGeom>
                        <a:solidFill>
                          <a:srgbClr val="0832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6273619C" id="Rectangle 16" o:spid="_x0000_s1026" style="position:absolute;margin-left:-8.5pt;margin-top:-103.5pt;width:609.8pt;height:848.5pt;z-index:251645949;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" fillcolor="#083266" stroked="f" strokeweight="2pt">
                <w10:wrap anchorx="page"/>
              </v:rect>
            </w:pict>
          </mc:Fallback>
        </mc:AlternateContent>
      </w:r>
    </w:p>
    <w:p w14:paraId="6879912C" w14:textId="6CDC4EA4" w:rsidR="009F1422" w:rsidRPr="00DC163F" w:rsidRDefault="009F1422" w:rsidP="00B71D25"/>
    <w:p w14:paraId="1AC32C9D" w14:textId="39E4F5BC" w:rsidR="009F1422" w:rsidRPr="00DC163F" w:rsidRDefault="009F1422" w:rsidP="00B71D25"/>
    <w:p w14:paraId="4C933E87" w14:textId="3D4E8A56" w:rsidR="009F1422" w:rsidRPr="00DC163F" w:rsidRDefault="009F1422" w:rsidP="00B71D25"/>
    <w:p w14:paraId="47D2A36C" w14:textId="11171913" w:rsidR="009F1422" w:rsidRPr="00DC163F" w:rsidRDefault="009F1422" w:rsidP="00B71D25"/>
    <w:p w14:paraId="76D45307" w14:textId="0E12A1E4" w:rsidR="009F1422" w:rsidRPr="00DC163F" w:rsidRDefault="009F1422" w:rsidP="00B71D25"/>
    <w:p w14:paraId="4A8229DB" w14:textId="290EC4E3" w:rsidR="00A93CEF" w:rsidRPr="00DC163F" w:rsidRDefault="00A93CEF" w:rsidP="00B71D25"/>
    <w:p w14:paraId="7E8C8933" w14:textId="0D4DBAAA" w:rsidR="00A93CEF" w:rsidRPr="00DC163F" w:rsidRDefault="00A93CEF" w:rsidP="00B71D25"/>
    <w:p w14:paraId="70787724" w14:textId="04CF49F7" w:rsidR="0058765E" w:rsidRPr="00DC163F" w:rsidRDefault="00E81749" w:rsidP="00B71D25">
      <w:r w:rsidRPr="00E81749">
        <w:rPr>
          <w:noProof/>
          <w:lang w:val="en-US"/>
        </w:rPr>
        <w:drawing>
          <wp:anchor distT="0" distB="0" distL="114300" distR="114300" simplePos="0" relativeHeight="251658244" behindDoc="0" locked="0" layoutInCell="1" allowOverlap="1" wp14:anchorId="241796AD" wp14:editId="3740DAD5">
            <wp:simplePos x="0" y="0"/>
            <wp:positionH relativeFrom="column">
              <wp:posOffset>601980</wp:posOffset>
            </wp:positionH>
            <wp:positionV relativeFrom="paragraph">
              <wp:posOffset>4410075</wp:posOffset>
            </wp:positionV>
            <wp:extent cx="2298700" cy="713740"/>
            <wp:effectExtent l="0" t="0" r="0" b="0"/>
            <wp:wrapNone/>
            <wp:docPr id="1347743490" name="Picture 1347743490" descr="A picture containing text, clipart,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text, clipart, gear&#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98700" cy="713740"/>
                    </a:xfrm>
                    <a:prstGeom prst="rect">
                      <a:avLst/>
                    </a:prstGeom>
                    <a:noFill/>
                    <a:ln>
                      <a:noFill/>
                    </a:ln>
                  </pic:spPr>
                </pic:pic>
              </a:graphicData>
            </a:graphic>
          </wp:anchor>
        </w:drawing>
      </w:r>
      <w:r w:rsidRPr="00E81749">
        <w:rPr>
          <w:noProof/>
          <w:lang w:val="en-US"/>
        </w:rPr>
        <mc:AlternateContent>
          <mc:Choice Requires="wps">
            <w:drawing>
              <wp:anchor distT="0" distB="0" distL="114300" distR="114300" simplePos="0" relativeHeight="251658245" behindDoc="0" locked="0" layoutInCell="1" allowOverlap="1" wp14:anchorId="5FBF3554" wp14:editId="462CF699">
                <wp:simplePos x="0" y="0"/>
                <wp:positionH relativeFrom="column">
                  <wp:posOffset>3400425</wp:posOffset>
                </wp:positionH>
                <wp:positionV relativeFrom="paragraph">
                  <wp:posOffset>4499610</wp:posOffset>
                </wp:positionV>
                <wp:extent cx="1868805" cy="572135"/>
                <wp:effectExtent l="0" t="0" r="0" b="0"/>
                <wp:wrapNone/>
                <wp:docPr id="1072838765" name="Text Box 1"/>
                <wp:cNvGraphicFramePr/>
                <a:graphic xmlns:a="http://schemas.openxmlformats.org/drawingml/2006/main">
                  <a:graphicData uri="http://schemas.microsoft.com/office/word/2010/wordprocessingShape">
                    <wps:wsp>
                      <wps:cNvSpPr txBox="1"/>
                      <wps:spPr>
                        <a:xfrm>
                          <a:off x="0" y="0"/>
                          <a:ext cx="1868805" cy="572135"/>
                        </a:xfrm>
                        <a:prstGeom prst="rect">
                          <a:avLst/>
                        </a:prstGeom>
                        <a:noFill/>
                        <a:ln w="6350">
                          <a:noFill/>
                        </a:ln>
                      </wps:spPr>
                      <wps:txbx>
                        <w:txbxContent>
                          <w:p w14:paraId="5BDB6DE7" w14:textId="77777777" w:rsidR="00E81749" w:rsidRPr="00B71D25" w:rsidRDefault="00E81749" w:rsidP="00E81749">
                            <w:pPr>
                              <w:pStyle w:val="BackCoverIISDWebsite"/>
                            </w:pPr>
                            <w:r w:rsidRPr="00B71D25">
                              <w:t>IISD.ORG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BF3554" id="_x0000_t202" coordsize="21600,21600" o:spt="202" path="m,l,21600r21600,l21600,xe">
                <v:stroke joinstyle="miter"/>
                <v:path gradientshapeok="t" o:connecttype="rect"/>
              </v:shapetype>
              <v:shape id="Text Box 1" o:spid="_x0000_s1026" type="#_x0000_t202" style="position:absolute;margin-left:267.75pt;margin-top:354.3pt;width:147.15pt;height:45.0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" filled="f" stroked="f" strokeweight=".5pt">
                <v:textbox>
                  <w:txbxContent>
                    <w:p w14:paraId="5BDB6DE7" w14:textId="77777777" w:rsidR="00E81749" w:rsidRPr="00B71D25" w:rsidRDefault="00E81749" w:rsidP="00E81749">
                      <w:pPr>
                        <w:pStyle w:val="BackCoverIISDWebsite"/>
                      </w:pPr>
                      <w:r w:rsidRPr="00B71D25">
                        <w:t>IISD.ORG</w:t>
                      </w:r>
                    </w:p>
                  </w:txbxContent>
                </v:textbox>
              </v:shape>
            </w:pict>
          </mc:Fallback>
        </mc:AlternateContent>
      </w:r>
      <w:r w:rsidR="00730A9E">
        <w:t>v</w:t>
      </w:r>
    </w:p>
    <w:sectPr w:rsidR="0058765E" w:rsidRPr="00DC163F" w:rsidSect="003F588F">
      <w:headerReference w:type="default" r:id="rId16"/>
      <w:footerReference w:type="default" r:id="rId17"/>
      <w:pgSz w:w="11906" w:h="16838" w:code="9"/>
      <w:pgMar w:top="198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86619" w14:textId="77777777" w:rsidR="00954833" w:rsidRDefault="00954833" w:rsidP="00B71D25">
      <w:r>
        <w:separator/>
      </w:r>
    </w:p>
  </w:endnote>
  <w:endnote w:type="continuationSeparator" w:id="0">
    <w:p w14:paraId="71C0783B" w14:textId="77777777" w:rsidR="00954833" w:rsidRDefault="00954833" w:rsidP="00B71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venir Next LT Pro Demi">
    <w:charset w:val="00"/>
    <w:family w:val="swiss"/>
    <w:pitch w:val="variable"/>
    <w:sig w:usb0="800000EF" w:usb1="5000204A" w:usb2="00000000" w:usb3="00000000" w:csb0="00000093" w:csb1="00000000"/>
  </w:font>
  <w:font w:name="Avenir Next LT Pro">
    <w:altName w:val="Calibri"/>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Whitney Light">
    <w:altName w:val="Calibri"/>
    <w:panose1 w:val="00000000000000000000"/>
    <w:charset w:val="00"/>
    <w:family w:val="modern"/>
    <w:notTrueType/>
    <w:pitch w:val="variable"/>
    <w:sig w:usb0="A00000FF" w:usb1="4000004A" w:usb2="00000000" w:usb3="00000000" w:csb0="0000009B" w:csb1="00000000"/>
  </w:font>
  <w:font w:name="Campton Book">
    <w:panose1 w:val="00000000000000000000"/>
    <w:charset w:val="00"/>
    <w:family w:val="modern"/>
    <w:notTrueType/>
    <w:pitch w:val="variable"/>
    <w:sig w:usb0="00000007" w:usb1="00000001" w:usb2="00000000" w:usb3="00000000" w:csb0="00000093" w:csb1="00000000"/>
  </w:font>
  <w:font w:name="Campton SemiBold">
    <w:panose1 w:val="00000000000000000000"/>
    <w:charset w:val="00"/>
    <w:family w:val="modern"/>
    <w:notTrueType/>
    <w:pitch w:val="variable"/>
    <w:sig w:usb0="00000007" w:usb1="00000001" w:usb2="00000000" w:usb3="00000000" w:csb0="00000093" w:csb1="00000000"/>
  </w:font>
  <w:font w:name="Plantin MT Pro">
    <w:altName w:val="Cambria"/>
    <w:panose1 w:val="00000000000000000000"/>
    <w:charset w:val="00"/>
    <w:family w:val="roman"/>
    <w:notTrueType/>
    <w:pitch w:val="variable"/>
    <w:sig w:usb0="A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996188"/>
      <w:docPartObj>
        <w:docPartGallery w:val="Page Numbers (Bottom of Page)"/>
        <w:docPartUnique/>
      </w:docPartObj>
    </w:sdtPr>
    <w:sdtEndPr>
      <w:rPr>
        <w:noProof/>
      </w:rPr>
    </w:sdtEndPr>
    <w:sdtContent>
      <w:p w14:paraId="52F4C8B9" w14:textId="77777777" w:rsidR="003938D9" w:rsidRPr="008716DD" w:rsidRDefault="003938D9" w:rsidP="00173619">
        <w:pPr>
          <w:pStyle w:val="Footer"/>
          <w:jc w:val="right"/>
        </w:pPr>
        <w:r w:rsidRPr="008716DD">
          <w:fldChar w:fldCharType="begin"/>
        </w:r>
        <w:r w:rsidRPr="008716DD">
          <w:instrText xml:space="preserve"> PAGE   \* MERGEFORMAT </w:instrText>
        </w:r>
        <w:r w:rsidRPr="008716DD">
          <w:fldChar w:fldCharType="separate"/>
        </w:r>
        <w:r>
          <w:rPr>
            <w:noProof/>
          </w:rPr>
          <w:t>3</w:t>
        </w:r>
        <w:r w:rsidRPr="008716DD">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324594"/>
      <w:docPartObj>
        <w:docPartGallery w:val="Page Numbers (Bottom of Page)"/>
        <w:docPartUnique/>
      </w:docPartObj>
    </w:sdtPr>
    <w:sdtEndPr>
      <w:rPr>
        <w:noProof/>
      </w:rPr>
    </w:sdtEndPr>
    <w:sdtContent>
      <w:p w14:paraId="3DB0EAC2" w14:textId="77777777" w:rsidR="00157F7F" w:rsidRPr="008716DD" w:rsidRDefault="00157F7F" w:rsidP="00173619">
        <w:pPr>
          <w:pStyle w:val="Footer"/>
          <w:jc w:val="right"/>
        </w:pPr>
        <w:r w:rsidRPr="008716DD">
          <w:fldChar w:fldCharType="begin"/>
        </w:r>
        <w:r w:rsidRPr="008716DD">
          <w:instrText xml:space="preserve"> PAGE   \* MERGEFORMAT </w:instrText>
        </w:r>
        <w:r w:rsidRPr="008716DD">
          <w:fldChar w:fldCharType="separate"/>
        </w:r>
        <w:r>
          <w:rPr>
            <w:noProof/>
          </w:rPr>
          <w:t>3</w:t>
        </w:r>
        <w:r w:rsidRPr="008716DD">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80350" w14:textId="2BE5A816" w:rsidR="007426D0" w:rsidRPr="008716DD" w:rsidRDefault="007426D0" w:rsidP="00B71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3B5B5" w14:textId="77777777" w:rsidR="00954833" w:rsidRDefault="00954833" w:rsidP="00B71D25">
      <w:r>
        <w:separator/>
      </w:r>
    </w:p>
  </w:footnote>
  <w:footnote w:type="continuationSeparator" w:id="0">
    <w:p w14:paraId="4600F901" w14:textId="77777777" w:rsidR="00954833" w:rsidRDefault="00954833" w:rsidP="00B71D25">
      <w:r>
        <w:continuationSeparator/>
      </w:r>
    </w:p>
  </w:footnote>
  <w:footnote w:id="1">
    <w:p w14:paraId="4C240EA6" w14:textId="7FCC3F2A" w:rsidR="002026DB" w:rsidRPr="002026DB" w:rsidRDefault="002026DB">
      <w:pPr>
        <w:pStyle w:val="FootnoteText"/>
        <w:rPr>
          <w:lang w:val="en-US"/>
        </w:rPr>
      </w:pPr>
      <w:r>
        <w:rPr>
          <w:rStyle w:val="FootnoteReference"/>
        </w:rPr>
        <w:footnoteRef/>
      </w:r>
      <w:r>
        <w:t xml:space="preserve"> This is a </w:t>
      </w:r>
      <w:r w:rsidRPr="002026DB">
        <w:t>fictive example for illustrative purposes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7EE9" w14:textId="5F1F41D8" w:rsidR="003938D9" w:rsidRPr="00E27110" w:rsidRDefault="003938D9" w:rsidP="00B71D25">
    <w:pPr>
      <w:pStyle w:val="Header"/>
      <w:rPr>
        <w:sz w:val="20"/>
        <w:szCs w:val="20"/>
      </w:rPr>
    </w:pPr>
    <w:r w:rsidRPr="00E27110">
      <w:rPr>
        <w:rFonts w:cs="Arial"/>
        <w:noProof/>
        <w:sz w:val="20"/>
        <w:szCs w:val="20"/>
        <w:lang w:eastAsia="en-CA"/>
      </w:rPr>
      <w:drawing>
        <wp:anchor distT="0" distB="0" distL="114300" distR="114300" simplePos="0" relativeHeight="251658240" behindDoc="0" locked="0" layoutInCell="1" allowOverlap="1" wp14:anchorId="4B859A25" wp14:editId="5F774DB0">
          <wp:simplePos x="0" y="0"/>
          <wp:positionH relativeFrom="margin">
            <wp:align>right</wp:align>
          </wp:positionH>
          <wp:positionV relativeFrom="paragraph">
            <wp:posOffset>-113554</wp:posOffset>
          </wp:positionV>
          <wp:extent cx="403761" cy="403761"/>
          <wp:effectExtent l="0" t="0" r="0" b="0"/>
          <wp:wrapNone/>
          <wp:docPr id="19" name="Picture 19" descr="\\winnipeg.iisd.ca\redirected$\kclark\My Documents\Branding\IISD - Logo Files\IISD - Logo Files\Globe Icon\IISD---Globe-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nnipeg.iisd.ca\redirected$\kclark\My Documents\Branding\IISD - Logo Files\IISD - Logo Files\Globe Icon\IISD---Globe-Ic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761" cy="403761"/>
                  </a:xfrm>
                  <a:prstGeom prst="rect">
                    <a:avLst/>
                  </a:prstGeom>
                  <a:noFill/>
                  <a:ln>
                    <a:noFill/>
                  </a:ln>
                </pic:spPr>
              </pic:pic>
            </a:graphicData>
          </a:graphic>
          <wp14:sizeRelH relativeFrom="page">
            <wp14:pctWidth>0</wp14:pctWidth>
          </wp14:sizeRelH>
          <wp14:sizeRelV relativeFrom="page">
            <wp14:pctHeight>0</wp14:pctHeight>
          </wp14:sizeRelV>
        </wp:anchor>
      </w:drawing>
    </w:r>
    <w:r w:rsidR="00F9685D" w:rsidRPr="00F9685D">
      <w:rPr>
        <w:sz w:val="20"/>
        <w:szCs w:val="20"/>
      </w:rPr>
      <w:t>Fossil Fuel Subsidy Inventory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DC29" w14:textId="61B1C5C5" w:rsidR="00A4023D" w:rsidRPr="00A4023D" w:rsidRDefault="00A4023D" w:rsidP="00B71D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05D4"/>
    <w:multiLevelType w:val="hybridMultilevel"/>
    <w:tmpl w:val="756C3A18"/>
    <w:lvl w:ilvl="0" w:tplc="73666B8C">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EAF371A"/>
    <w:multiLevelType w:val="hybridMultilevel"/>
    <w:tmpl w:val="402E7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7F3758"/>
    <w:multiLevelType w:val="multilevel"/>
    <w:tmpl w:val="BF1C1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4ED332C0"/>
    <w:multiLevelType w:val="hybridMultilevel"/>
    <w:tmpl w:val="CAC8F7D6"/>
    <w:lvl w:ilvl="0" w:tplc="7DC20354">
      <w:start w:val="1"/>
      <w:numFmt w:val="decimal"/>
      <w:pStyle w:val="Numbers"/>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8382A15"/>
    <w:multiLevelType w:val="hybridMultilevel"/>
    <w:tmpl w:val="665C4E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03E6F80"/>
    <w:multiLevelType w:val="hybridMultilevel"/>
    <w:tmpl w:val="98625F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4F66CE4"/>
    <w:multiLevelType w:val="hybridMultilevel"/>
    <w:tmpl w:val="7A185FAA"/>
    <w:lvl w:ilvl="0" w:tplc="6DE8CC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EA6F85"/>
    <w:multiLevelType w:val="hybridMultilevel"/>
    <w:tmpl w:val="23DC0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B9438E"/>
    <w:multiLevelType w:val="hybridMultilevel"/>
    <w:tmpl w:val="66BCD1F8"/>
    <w:lvl w:ilvl="0" w:tplc="96AA8484">
      <w:start w:val="1"/>
      <w:numFmt w:val="bullet"/>
      <w:pStyle w:val="Bullets"/>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28496505">
    <w:abstractNumId w:val="0"/>
  </w:num>
  <w:num w:numId="2" w16cid:durableId="276762473">
    <w:abstractNumId w:val="2"/>
  </w:num>
  <w:num w:numId="3" w16cid:durableId="1866358645">
    <w:abstractNumId w:val="4"/>
  </w:num>
  <w:num w:numId="4" w16cid:durableId="1404983282">
    <w:abstractNumId w:val="1"/>
  </w:num>
  <w:num w:numId="5" w16cid:durableId="1356733437">
    <w:abstractNumId w:val="7"/>
  </w:num>
  <w:num w:numId="6" w16cid:durableId="1144007897">
    <w:abstractNumId w:val="6"/>
  </w:num>
  <w:num w:numId="7" w16cid:durableId="692610801">
    <w:abstractNumId w:val="8"/>
  </w:num>
  <w:num w:numId="8" w16cid:durableId="660694331">
    <w:abstractNumId w:val="3"/>
  </w:num>
  <w:num w:numId="9" w16cid:durableId="3843739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B3C"/>
    <w:rsid w:val="00003AA7"/>
    <w:rsid w:val="00012966"/>
    <w:rsid w:val="00014790"/>
    <w:rsid w:val="000163C7"/>
    <w:rsid w:val="00017AFD"/>
    <w:rsid w:val="00026B9F"/>
    <w:rsid w:val="00036FFD"/>
    <w:rsid w:val="00041BB8"/>
    <w:rsid w:val="000459BD"/>
    <w:rsid w:val="00046533"/>
    <w:rsid w:val="00047F22"/>
    <w:rsid w:val="00056434"/>
    <w:rsid w:val="00074FBE"/>
    <w:rsid w:val="0008069A"/>
    <w:rsid w:val="00082149"/>
    <w:rsid w:val="00082479"/>
    <w:rsid w:val="000872F7"/>
    <w:rsid w:val="0009226F"/>
    <w:rsid w:val="00095004"/>
    <w:rsid w:val="0009532D"/>
    <w:rsid w:val="000A4C53"/>
    <w:rsid w:val="000B1572"/>
    <w:rsid w:val="000B2AEB"/>
    <w:rsid w:val="000C1840"/>
    <w:rsid w:val="000C1F10"/>
    <w:rsid w:val="000C2347"/>
    <w:rsid w:val="000C52DC"/>
    <w:rsid w:val="000C6379"/>
    <w:rsid w:val="000D1984"/>
    <w:rsid w:val="000E65D9"/>
    <w:rsid w:val="000F0467"/>
    <w:rsid w:val="000F17A3"/>
    <w:rsid w:val="000F2D7F"/>
    <w:rsid w:val="00112B38"/>
    <w:rsid w:val="00115802"/>
    <w:rsid w:val="00116AB8"/>
    <w:rsid w:val="00121AC2"/>
    <w:rsid w:val="00127DEF"/>
    <w:rsid w:val="001317E6"/>
    <w:rsid w:val="00142661"/>
    <w:rsid w:val="0014662D"/>
    <w:rsid w:val="00152460"/>
    <w:rsid w:val="001529D2"/>
    <w:rsid w:val="00157F7F"/>
    <w:rsid w:val="001612D4"/>
    <w:rsid w:val="00164ABC"/>
    <w:rsid w:val="00173619"/>
    <w:rsid w:val="00192694"/>
    <w:rsid w:val="001A0B98"/>
    <w:rsid w:val="001A153B"/>
    <w:rsid w:val="001A4EA6"/>
    <w:rsid w:val="001A70D9"/>
    <w:rsid w:val="001B2197"/>
    <w:rsid w:val="001B5BC4"/>
    <w:rsid w:val="001B7CF0"/>
    <w:rsid w:val="001D09EB"/>
    <w:rsid w:val="001D331E"/>
    <w:rsid w:val="001E5BC4"/>
    <w:rsid w:val="001E64A1"/>
    <w:rsid w:val="001F0C0A"/>
    <w:rsid w:val="001F12B3"/>
    <w:rsid w:val="001F34DC"/>
    <w:rsid w:val="002008D5"/>
    <w:rsid w:val="002026DB"/>
    <w:rsid w:val="00205A5C"/>
    <w:rsid w:val="002078BA"/>
    <w:rsid w:val="002078F3"/>
    <w:rsid w:val="00211CAC"/>
    <w:rsid w:val="00213063"/>
    <w:rsid w:val="00214214"/>
    <w:rsid w:val="0022204F"/>
    <w:rsid w:val="00223981"/>
    <w:rsid w:val="00227044"/>
    <w:rsid w:val="002279F3"/>
    <w:rsid w:val="00232EA3"/>
    <w:rsid w:val="002334F1"/>
    <w:rsid w:val="002335A7"/>
    <w:rsid w:val="0023645E"/>
    <w:rsid w:val="00236D9D"/>
    <w:rsid w:val="00237702"/>
    <w:rsid w:val="00242ED0"/>
    <w:rsid w:val="002458E3"/>
    <w:rsid w:val="00251E89"/>
    <w:rsid w:val="002541DA"/>
    <w:rsid w:val="00254314"/>
    <w:rsid w:val="00254843"/>
    <w:rsid w:val="00257AD0"/>
    <w:rsid w:val="00261DE9"/>
    <w:rsid w:val="002701D5"/>
    <w:rsid w:val="00283AFA"/>
    <w:rsid w:val="00285208"/>
    <w:rsid w:val="0028542C"/>
    <w:rsid w:val="002D2216"/>
    <w:rsid w:val="002D7C4D"/>
    <w:rsid w:val="002E21FA"/>
    <w:rsid w:val="002E2C27"/>
    <w:rsid w:val="002E3DD3"/>
    <w:rsid w:val="002F57C9"/>
    <w:rsid w:val="002F74A0"/>
    <w:rsid w:val="002F7BF5"/>
    <w:rsid w:val="003022FE"/>
    <w:rsid w:val="003066EA"/>
    <w:rsid w:val="003135FF"/>
    <w:rsid w:val="00316D1D"/>
    <w:rsid w:val="0033578F"/>
    <w:rsid w:val="00335B82"/>
    <w:rsid w:val="00335E97"/>
    <w:rsid w:val="00336469"/>
    <w:rsid w:val="003377ED"/>
    <w:rsid w:val="00343DB9"/>
    <w:rsid w:val="00353B5D"/>
    <w:rsid w:val="003544B3"/>
    <w:rsid w:val="00355B72"/>
    <w:rsid w:val="003671BA"/>
    <w:rsid w:val="00374004"/>
    <w:rsid w:val="00374C27"/>
    <w:rsid w:val="003830DE"/>
    <w:rsid w:val="0038441E"/>
    <w:rsid w:val="0038727F"/>
    <w:rsid w:val="00392EEB"/>
    <w:rsid w:val="003938D9"/>
    <w:rsid w:val="00395ABB"/>
    <w:rsid w:val="00395FF8"/>
    <w:rsid w:val="00397E63"/>
    <w:rsid w:val="003A049D"/>
    <w:rsid w:val="003A1585"/>
    <w:rsid w:val="003A4113"/>
    <w:rsid w:val="003A6BEE"/>
    <w:rsid w:val="003B586C"/>
    <w:rsid w:val="003C67ED"/>
    <w:rsid w:val="003E188D"/>
    <w:rsid w:val="003E205A"/>
    <w:rsid w:val="003E51AF"/>
    <w:rsid w:val="003E547D"/>
    <w:rsid w:val="003F0137"/>
    <w:rsid w:val="003F0A66"/>
    <w:rsid w:val="003F588F"/>
    <w:rsid w:val="0040036E"/>
    <w:rsid w:val="004004EC"/>
    <w:rsid w:val="00412779"/>
    <w:rsid w:val="0041427D"/>
    <w:rsid w:val="00415C26"/>
    <w:rsid w:val="0042180C"/>
    <w:rsid w:val="00426429"/>
    <w:rsid w:val="0043058A"/>
    <w:rsid w:val="00433F87"/>
    <w:rsid w:val="00435BFF"/>
    <w:rsid w:val="004404BC"/>
    <w:rsid w:val="00442FA8"/>
    <w:rsid w:val="00452429"/>
    <w:rsid w:val="00455A2F"/>
    <w:rsid w:val="00463451"/>
    <w:rsid w:val="004709DB"/>
    <w:rsid w:val="0049184A"/>
    <w:rsid w:val="00492029"/>
    <w:rsid w:val="00493DA9"/>
    <w:rsid w:val="00495E53"/>
    <w:rsid w:val="004965EE"/>
    <w:rsid w:val="00497D18"/>
    <w:rsid w:val="004A2B60"/>
    <w:rsid w:val="004B0B00"/>
    <w:rsid w:val="004B19A0"/>
    <w:rsid w:val="004C33B3"/>
    <w:rsid w:val="004D0470"/>
    <w:rsid w:val="004D4A9F"/>
    <w:rsid w:val="004E4B2A"/>
    <w:rsid w:val="005002DB"/>
    <w:rsid w:val="00501C42"/>
    <w:rsid w:val="00502251"/>
    <w:rsid w:val="00502B15"/>
    <w:rsid w:val="0050347F"/>
    <w:rsid w:val="005103AE"/>
    <w:rsid w:val="005106BB"/>
    <w:rsid w:val="0052064D"/>
    <w:rsid w:val="00521BA8"/>
    <w:rsid w:val="005233A5"/>
    <w:rsid w:val="00523C74"/>
    <w:rsid w:val="00530962"/>
    <w:rsid w:val="005377F0"/>
    <w:rsid w:val="00541936"/>
    <w:rsid w:val="00542CEE"/>
    <w:rsid w:val="00542E2A"/>
    <w:rsid w:val="0054552B"/>
    <w:rsid w:val="00546358"/>
    <w:rsid w:val="00573D93"/>
    <w:rsid w:val="005750E0"/>
    <w:rsid w:val="005753E5"/>
    <w:rsid w:val="00576DB8"/>
    <w:rsid w:val="00577F2F"/>
    <w:rsid w:val="0058765E"/>
    <w:rsid w:val="00597781"/>
    <w:rsid w:val="005A048F"/>
    <w:rsid w:val="005A64D6"/>
    <w:rsid w:val="005B0C28"/>
    <w:rsid w:val="005B3C3B"/>
    <w:rsid w:val="005B6F87"/>
    <w:rsid w:val="005C339C"/>
    <w:rsid w:val="005C4BD2"/>
    <w:rsid w:val="005C6CCC"/>
    <w:rsid w:val="005F70F3"/>
    <w:rsid w:val="00603D15"/>
    <w:rsid w:val="00613F96"/>
    <w:rsid w:val="00615FD4"/>
    <w:rsid w:val="00620FD0"/>
    <w:rsid w:val="00621D3D"/>
    <w:rsid w:val="0062266B"/>
    <w:rsid w:val="0063418B"/>
    <w:rsid w:val="00636469"/>
    <w:rsid w:val="00662A60"/>
    <w:rsid w:val="00664F42"/>
    <w:rsid w:val="0068054C"/>
    <w:rsid w:val="006827A2"/>
    <w:rsid w:val="0068323C"/>
    <w:rsid w:val="00683982"/>
    <w:rsid w:val="00684354"/>
    <w:rsid w:val="006879F0"/>
    <w:rsid w:val="0069036E"/>
    <w:rsid w:val="0069414A"/>
    <w:rsid w:val="006966B0"/>
    <w:rsid w:val="006A2588"/>
    <w:rsid w:val="006B2402"/>
    <w:rsid w:val="006B2F7A"/>
    <w:rsid w:val="006B5DD7"/>
    <w:rsid w:val="006B7F64"/>
    <w:rsid w:val="006C0BCA"/>
    <w:rsid w:val="006C2B6D"/>
    <w:rsid w:val="006C361D"/>
    <w:rsid w:val="006F1322"/>
    <w:rsid w:val="006F51EC"/>
    <w:rsid w:val="0070413C"/>
    <w:rsid w:val="00705632"/>
    <w:rsid w:val="007101E9"/>
    <w:rsid w:val="00711418"/>
    <w:rsid w:val="00715482"/>
    <w:rsid w:val="0071699F"/>
    <w:rsid w:val="00721559"/>
    <w:rsid w:val="00730A9E"/>
    <w:rsid w:val="00733656"/>
    <w:rsid w:val="00734F3E"/>
    <w:rsid w:val="007426AA"/>
    <w:rsid w:val="007426D0"/>
    <w:rsid w:val="0074665C"/>
    <w:rsid w:val="00747B3C"/>
    <w:rsid w:val="00751C1C"/>
    <w:rsid w:val="0075305F"/>
    <w:rsid w:val="00753391"/>
    <w:rsid w:val="007563C0"/>
    <w:rsid w:val="00761945"/>
    <w:rsid w:val="0077155E"/>
    <w:rsid w:val="00777A9F"/>
    <w:rsid w:val="00791B84"/>
    <w:rsid w:val="00794D3F"/>
    <w:rsid w:val="00797C12"/>
    <w:rsid w:val="007A2FBF"/>
    <w:rsid w:val="007A711A"/>
    <w:rsid w:val="007B4A1E"/>
    <w:rsid w:val="007B5DF9"/>
    <w:rsid w:val="007C6281"/>
    <w:rsid w:val="007C7DC9"/>
    <w:rsid w:val="007D2B75"/>
    <w:rsid w:val="007D74FB"/>
    <w:rsid w:val="007E1222"/>
    <w:rsid w:val="007E52F8"/>
    <w:rsid w:val="007F17CC"/>
    <w:rsid w:val="00803EBA"/>
    <w:rsid w:val="00804CFC"/>
    <w:rsid w:val="00805BA5"/>
    <w:rsid w:val="00810F05"/>
    <w:rsid w:val="00811F48"/>
    <w:rsid w:val="00812AF6"/>
    <w:rsid w:val="00813212"/>
    <w:rsid w:val="0081381F"/>
    <w:rsid w:val="008145F3"/>
    <w:rsid w:val="0082291E"/>
    <w:rsid w:val="00826616"/>
    <w:rsid w:val="008343D9"/>
    <w:rsid w:val="00836872"/>
    <w:rsid w:val="00840E77"/>
    <w:rsid w:val="0084184C"/>
    <w:rsid w:val="00844909"/>
    <w:rsid w:val="00845AF9"/>
    <w:rsid w:val="00856DAF"/>
    <w:rsid w:val="00860EC4"/>
    <w:rsid w:val="008627F7"/>
    <w:rsid w:val="008659F4"/>
    <w:rsid w:val="00871185"/>
    <w:rsid w:val="008716DD"/>
    <w:rsid w:val="00873220"/>
    <w:rsid w:val="0087335A"/>
    <w:rsid w:val="0087358F"/>
    <w:rsid w:val="00884989"/>
    <w:rsid w:val="0089091D"/>
    <w:rsid w:val="00891494"/>
    <w:rsid w:val="008921A4"/>
    <w:rsid w:val="008935EC"/>
    <w:rsid w:val="00894024"/>
    <w:rsid w:val="008A6501"/>
    <w:rsid w:val="008A6EE1"/>
    <w:rsid w:val="008B0C76"/>
    <w:rsid w:val="008C5F2A"/>
    <w:rsid w:val="008C772E"/>
    <w:rsid w:val="008D2177"/>
    <w:rsid w:val="008D2B97"/>
    <w:rsid w:val="008F2093"/>
    <w:rsid w:val="008F4CD2"/>
    <w:rsid w:val="008F55B3"/>
    <w:rsid w:val="00904E6E"/>
    <w:rsid w:val="00912C08"/>
    <w:rsid w:val="00920D78"/>
    <w:rsid w:val="00927B2F"/>
    <w:rsid w:val="00933340"/>
    <w:rsid w:val="009352A4"/>
    <w:rsid w:val="00936287"/>
    <w:rsid w:val="00944FDB"/>
    <w:rsid w:val="009532B7"/>
    <w:rsid w:val="00954833"/>
    <w:rsid w:val="009674E4"/>
    <w:rsid w:val="0097278A"/>
    <w:rsid w:val="009748AE"/>
    <w:rsid w:val="00975D6A"/>
    <w:rsid w:val="009846B1"/>
    <w:rsid w:val="00984758"/>
    <w:rsid w:val="0099626D"/>
    <w:rsid w:val="0099711D"/>
    <w:rsid w:val="009972E0"/>
    <w:rsid w:val="00997D07"/>
    <w:rsid w:val="00997ED1"/>
    <w:rsid w:val="009A7350"/>
    <w:rsid w:val="009B0C86"/>
    <w:rsid w:val="009C72DF"/>
    <w:rsid w:val="009D0918"/>
    <w:rsid w:val="009D225A"/>
    <w:rsid w:val="009D3B1E"/>
    <w:rsid w:val="009D5D20"/>
    <w:rsid w:val="009D6708"/>
    <w:rsid w:val="009F1422"/>
    <w:rsid w:val="009F5C69"/>
    <w:rsid w:val="00A0322D"/>
    <w:rsid w:val="00A13493"/>
    <w:rsid w:val="00A23E1B"/>
    <w:rsid w:val="00A302C0"/>
    <w:rsid w:val="00A32EAF"/>
    <w:rsid w:val="00A338F1"/>
    <w:rsid w:val="00A4023D"/>
    <w:rsid w:val="00A4098D"/>
    <w:rsid w:val="00A41667"/>
    <w:rsid w:val="00A54C8B"/>
    <w:rsid w:val="00A63A5D"/>
    <w:rsid w:val="00A65342"/>
    <w:rsid w:val="00A73ADF"/>
    <w:rsid w:val="00A93CEF"/>
    <w:rsid w:val="00A97C73"/>
    <w:rsid w:val="00A97E22"/>
    <w:rsid w:val="00AA2D6C"/>
    <w:rsid w:val="00AA4632"/>
    <w:rsid w:val="00AA5A1D"/>
    <w:rsid w:val="00AA78E1"/>
    <w:rsid w:val="00AB1720"/>
    <w:rsid w:val="00AB2797"/>
    <w:rsid w:val="00AB7161"/>
    <w:rsid w:val="00AB73C5"/>
    <w:rsid w:val="00AC2063"/>
    <w:rsid w:val="00AC3005"/>
    <w:rsid w:val="00AC5CB8"/>
    <w:rsid w:val="00AF0C47"/>
    <w:rsid w:val="00AF417E"/>
    <w:rsid w:val="00AF49BB"/>
    <w:rsid w:val="00B002E0"/>
    <w:rsid w:val="00B051C7"/>
    <w:rsid w:val="00B10376"/>
    <w:rsid w:val="00B2042B"/>
    <w:rsid w:val="00B21E08"/>
    <w:rsid w:val="00B26844"/>
    <w:rsid w:val="00B35BC0"/>
    <w:rsid w:val="00B4231A"/>
    <w:rsid w:val="00B44999"/>
    <w:rsid w:val="00B530A9"/>
    <w:rsid w:val="00B53B44"/>
    <w:rsid w:val="00B57A8E"/>
    <w:rsid w:val="00B6173D"/>
    <w:rsid w:val="00B71D25"/>
    <w:rsid w:val="00B82678"/>
    <w:rsid w:val="00B82BD5"/>
    <w:rsid w:val="00B83478"/>
    <w:rsid w:val="00B91E3F"/>
    <w:rsid w:val="00B9296B"/>
    <w:rsid w:val="00BA0C83"/>
    <w:rsid w:val="00BA2B22"/>
    <w:rsid w:val="00BA3295"/>
    <w:rsid w:val="00BA5961"/>
    <w:rsid w:val="00BB29CE"/>
    <w:rsid w:val="00BD1819"/>
    <w:rsid w:val="00BD329A"/>
    <w:rsid w:val="00BD37F4"/>
    <w:rsid w:val="00BD4049"/>
    <w:rsid w:val="00BD7CC3"/>
    <w:rsid w:val="00BE1663"/>
    <w:rsid w:val="00BE35FF"/>
    <w:rsid w:val="00BE4C93"/>
    <w:rsid w:val="00BE6389"/>
    <w:rsid w:val="00C06847"/>
    <w:rsid w:val="00C07060"/>
    <w:rsid w:val="00C104EA"/>
    <w:rsid w:val="00C107DB"/>
    <w:rsid w:val="00C17AED"/>
    <w:rsid w:val="00C20380"/>
    <w:rsid w:val="00C24862"/>
    <w:rsid w:val="00C254B6"/>
    <w:rsid w:val="00C325A4"/>
    <w:rsid w:val="00C330FC"/>
    <w:rsid w:val="00C331AA"/>
    <w:rsid w:val="00C34E3C"/>
    <w:rsid w:val="00C4047B"/>
    <w:rsid w:val="00C411AB"/>
    <w:rsid w:val="00C4215E"/>
    <w:rsid w:val="00C57727"/>
    <w:rsid w:val="00C723EF"/>
    <w:rsid w:val="00C83003"/>
    <w:rsid w:val="00C9510E"/>
    <w:rsid w:val="00C971C4"/>
    <w:rsid w:val="00CA20F6"/>
    <w:rsid w:val="00CC0E22"/>
    <w:rsid w:val="00CC5C26"/>
    <w:rsid w:val="00CC759E"/>
    <w:rsid w:val="00CC7A50"/>
    <w:rsid w:val="00CD0586"/>
    <w:rsid w:val="00CD2004"/>
    <w:rsid w:val="00CD4722"/>
    <w:rsid w:val="00CD501D"/>
    <w:rsid w:val="00CD63E7"/>
    <w:rsid w:val="00CE63C9"/>
    <w:rsid w:val="00CF2617"/>
    <w:rsid w:val="00CF354D"/>
    <w:rsid w:val="00D04700"/>
    <w:rsid w:val="00D0539C"/>
    <w:rsid w:val="00D07F2F"/>
    <w:rsid w:val="00D14DFD"/>
    <w:rsid w:val="00D157FC"/>
    <w:rsid w:val="00D21A23"/>
    <w:rsid w:val="00D2267F"/>
    <w:rsid w:val="00D250CE"/>
    <w:rsid w:val="00D25F98"/>
    <w:rsid w:val="00D3151D"/>
    <w:rsid w:val="00D41641"/>
    <w:rsid w:val="00D448A6"/>
    <w:rsid w:val="00D44FB6"/>
    <w:rsid w:val="00D455A9"/>
    <w:rsid w:val="00D500C3"/>
    <w:rsid w:val="00D56835"/>
    <w:rsid w:val="00D61109"/>
    <w:rsid w:val="00D63914"/>
    <w:rsid w:val="00D671A6"/>
    <w:rsid w:val="00D72299"/>
    <w:rsid w:val="00D7717B"/>
    <w:rsid w:val="00D777CE"/>
    <w:rsid w:val="00D82722"/>
    <w:rsid w:val="00D85D98"/>
    <w:rsid w:val="00D86748"/>
    <w:rsid w:val="00D940B3"/>
    <w:rsid w:val="00DA606F"/>
    <w:rsid w:val="00DA7B00"/>
    <w:rsid w:val="00DA7CAB"/>
    <w:rsid w:val="00DB041C"/>
    <w:rsid w:val="00DB266A"/>
    <w:rsid w:val="00DB51EB"/>
    <w:rsid w:val="00DC163F"/>
    <w:rsid w:val="00DC3722"/>
    <w:rsid w:val="00DC441B"/>
    <w:rsid w:val="00DC45E5"/>
    <w:rsid w:val="00DC4787"/>
    <w:rsid w:val="00DC64A7"/>
    <w:rsid w:val="00DD3F67"/>
    <w:rsid w:val="00DE0891"/>
    <w:rsid w:val="00DE1EBD"/>
    <w:rsid w:val="00DE2575"/>
    <w:rsid w:val="00DF2D49"/>
    <w:rsid w:val="00DF775F"/>
    <w:rsid w:val="00E11BCD"/>
    <w:rsid w:val="00E1319D"/>
    <w:rsid w:val="00E1471F"/>
    <w:rsid w:val="00E15396"/>
    <w:rsid w:val="00E200FB"/>
    <w:rsid w:val="00E25484"/>
    <w:rsid w:val="00E27110"/>
    <w:rsid w:val="00E30932"/>
    <w:rsid w:val="00E467B5"/>
    <w:rsid w:val="00E46D6B"/>
    <w:rsid w:val="00E47CF4"/>
    <w:rsid w:val="00E55DFD"/>
    <w:rsid w:val="00E604FA"/>
    <w:rsid w:val="00E6146F"/>
    <w:rsid w:val="00E63419"/>
    <w:rsid w:val="00E671BD"/>
    <w:rsid w:val="00E679EC"/>
    <w:rsid w:val="00E81749"/>
    <w:rsid w:val="00E84038"/>
    <w:rsid w:val="00E87D8D"/>
    <w:rsid w:val="00E927B9"/>
    <w:rsid w:val="00E94B59"/>
    <w:rsid w:val="00E967E7"/>
    <w:rsid w:val="00EA0378"/>
    <w:rsid w:val="00EA4878"/>
    <w:rsid w:val="00EA4967"/>
    <w:rsid w:val="00EA7949"/>
    <w:rsid w:val="00EB100F"/>
    <w:rsid w:val="00EC61A7"/>
    <w:rsid w:val="00EC7E88"/>
    <w:rsid w:val="00ED17C6"/>
    <w:rsid w:val="00ED2748"/>
    <w:rsid w:val="00ED44E6"/>
    <w:rsid w:val="00EE5F1F"/>
    <w:rsid w:val="00EF6282"/>
    <w:rsid w:val="00EF66B5"/>
    <w:rsid w:val="00F003C2"/>
    <w:rsid w:val="00F15170"/>
    <w:rsid w:val="00F22C9E"/>
    <w:rsid w:val="00F26A76"/>
    <w:rsid w:val="00F32E59"/>
    <w:rsid w:val="00F34FF1"/>
    <w:rsid w:val="00F356C5"/>
    <w:rsid w:val="00F42FAA"/>
    <w:rsid w:val="00F45324"/>
    <w:rsid w:val="00F50964"/>
    <w:rsid w:val="00F57579"/>
    <w:rsid w:val="00F7283A"/>
    <w:rsid w:val="00F74BD4"/>
    <w:rsid w:val="00F81A29"/>
    <w:rsid w:val="00F91183"/>
    <w:rsid w:val="00F9685D"/>
    <w:rsid w:val="00F97774"/>
    <w:rsid w:val="00FA4E81"/>
    <w:rsid w:val="00FB6E20"/>
    <w:rsid w:val="00FC17DD"/>
    <w:rsid w:val="00FC33FB"/>
    <w:rsid w:val="00FC61C3"/>
    <w:rsid w:val="00FC64AB"/>
    <w:rsid w:val="00FC687B"/>
    <w:rsid w:val="00FD1D45"/>
    <w:rsid w:val="00FD2000"/>
    <w:rsid w:val="00FD5643"/>
    <w:rsid w:val="00FF6815"/>
    <w:rsid w:val="00FF71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5CAC7"/>
  <w15:docId w15:val="{CFD2E696-9062-4B91-9353-E74CD5A5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7F0"/>
    <w:pPr>
      <w:spacing w:after="240" w:line="288" w:lineRule="auto"/>
    </w:pPr>
    <w:rPr>
      <w:rFonts w:ascii="Georgia" w:hAnsi="Georgia"/>
      <w:lang w:val="en-CA"/>
    </w:rPr>
  </w:style>
  <w:style w:type="paragraph" w:styleId="Heading1">
    <w:name w:val="heading 1"/>
    <w:basedOn w:val="Normal"/>
    <w:next w:val="Normal"/>
    <w:link w:val="Heading1Char"/>
    <w:uiPriority w:val="9"/>
    <w:qFormat/>
    <w:rsid w:val="00415C26"/>
    <w:pPr>
      <w:keepNext/>
      <w:keepLines/>
      <w:spacing w:before="240" w:after="160"/>
      <w:outlineLvl w:val="0"/>
    </w:pPr>
    <w:rPr>
      <w:rFonts w:ascii="Avenir Next LT Pro Demi" w:eastAsiaTheme="majorEastAsia" w:hAnsi="Avenir Next LT Pro Demi" w:cstheme="majorBidi"/>
      <w:b/>
      <w:bCs/>
      <w:color w:val="29C3EC"/>
      <w:sz w:val="44"/>
      <w:szCs w:val="28"/>
    </w:rPr>
  </w:style>
  <w:style w:type="paragraph" w:styleId="Heading2">
    <w:name w:val="heading 2"/>
    <w:basedOn w:val="Normal"/>
    <w:next w:val="Normal"/>
    <w:link w:val="Heading2Char"/>
    <w:uiPriority w:val="9"/>
    <w:unhideWhenUsed/>
    <w:qFormat/>
    <w:rsid w:val="008145F3"/>
    <w:pPr>
      <w:keepNext/>
      <w:keepLines/>
      <w:spacing w:before="240"/>
      <w:outlineLvl w:val="1"/>
    </w:pPr>
    <w:rPr>
      <w:rFonts w:ascii="Avenir Next LT Pro Demi" w:eastAsiaTheme="majorEastAsia" w:hAnsi="Avenir Next LT Pro Demi" w:cstheme="majorBidi"/>
      <w:b/>
      <w:bCs/>
      <w:color w:val="083266"/>
      <w:sz w:val="32"/>
      <w:szCs w:val="26"/>
    </w:rPr>
  </w:style>
  <w:style w:type="paragraph" w:styleId="Heading3">
    <w:name w:val="heading 3"/>
    <w:basedOn w:val="Normal"/>
    <w:next w:val="Normal"/>
    <w:link w:val="Heading3Char"/>
    <w:uiPriority w:val="9"/>
    <w:unhideWhenUsed/>
    <w:qFormat/>
    <w:rsid w:val="00721559"/>
    <w:pPr>
      <w:keepNext/>
      <w:keepLines/>
      <w:spacing w:before="240" w:after="120"/>
      <w:outlineLvl w:val="2"/>
    </w:pPr>
    <w:rPr>
      <w:rFonts w:ascii="Avenir Next LT Pro Demi" w:eastAsiaTheme="majorEastAsia" w:hAnsi="Avenir Next LT Pro Demi" w:cstheme="majorBidi"/>
      <w:b/>
      <w:bCs/>
      <w:color w:val="1F497D"/>
      <w:sz w:val="26"/>
    </w:rPr>
  </w:style>
  <w:style w:type="paragraph" w:styleId="Heading4">
    <w:name w:val="heading 4"/>
    <w:basedOn w:val="Normal"/>
    <w:next w:val="Normal"/>
    <w:link w:val="Heading4Char"/>
    <w:uiPriority w:val="9"/>
    <w:unhideWhenUsed/>
    <w:qFormat/>
    <w:rsid w:val="00721559"/>
    <w:pPr>
      <w:keepNext/>
      <w:keepLines/>
      <w:spacing w:before="240" w:after="160"/>
      <w:outlineLvl w:val="3"/>
    </w:pPr>
    <w:rPr>
      <w:rFonts w:ascii="Avenir Next LT Pro Demi" w:eastAsiaTheme="majorEastAsia" w:hAnsi="Avenir Next LT Pro Demi" w:cstheme="majorBidi"/>
      <w:b/>
      <w:bCs/>
      <w:iCs/>
      <w:color w:val="000000" w:themeColor="text1"/>
    </w:rPr>
  </w:style>
  <w:style w:type="paragraph" w:styleId="Heading5">
    <w:name w:val="heading 5"/>
    <w:basedOn w:val="Normal"/>
    <w:next w:val="Normal"/>
    <w:link w:val="Heading5Char"/>
    <w:uiPriority w:val="9"/>
    <w:unhideWhenUsed/>
    <w:qFormat/>
    <w:rsid w:val="0097278A"/>
    <w:pPr>
      <w:keepNext/>
      <w:keepLines/>
      <w:spacing w:before="240" w:after="160"/>
      <w:outlineLvl w:val="4"/>
    </w:pPr>
    <w:rPr>
      <w:rFonts w:ascii="Avenir Next LT Pro" w:eastAsiaTheme="majorEastAsia" w:hAnsi="Avenir Next LT Pro" w:cstheme="majorBidi"/>
      <w:b/>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41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14A"/>
    <w:rPr>
      <w:rFonts w:ascii="Tahoma" w:hAnsi="Tahoma" w:cs="Tahoma"/>
      <w:sz w:val="16"/>
      <w:szCs w:val="16"/>
    </w:rPr>
  </w:style>
  <w:style w:type="paragraph" w:styleId="Header">
    <w:name w:val="header"/>
    <w:basedOn w:val="Normal"/>
    <w:link w:val="HeaderChar"/>
    <w:uiPriority w:val="99"/>
    <w:unhideWhenUsed/>
    <w:rsid w:val="0069414A"/>
    <w:pPr>
      <w:tabs>
        <w:tab w:val="center" w:pos="4680"/>
        <w:tab w:val="right" w:pos="9360"/>
      </w:tabs>
      <w:spacing w:line="240" w:lineRule="auto"/>
    </w:pPr>
  </w:style>
  <w:style w:type="character" w:customStyle="1" w:styleId="HeaderChar">
    <w:name w:val="Header Char"/>
    <w:basedOn w:val="DefaultParagraphFont"/>
    <w:link w:val="Header"/>
    <w:uiPriority w:val="99"/>
    <w:rsid w:val="0069414A"/>
  </w:style>
  <w:style w:type="paragraph" w:styleId="Footer">
    <w:name w:val="footer"/>
    <w:basedOn w:val="Normal"/>
    <w:link w:val="FooterChar"/>
    <w:uiPriority w:val="99"/>
    <w:unhideWhenUsed/>
    <w:rsid w:val="0069414A"/>
    <w:pPr>
      <w:tabs>
        <w:tab w:val="center" w:pos="4680"/>
        <w:tab w:val="right" w:pos="9360"/>
      </w:tabs>
      <w:spacing w:line="240" w:lineRule="auto"/>
    </w:pPr>
  </w:style>
  <w:style w:type="character" w:customStyle="1" w:styleId="FooterChar">
    <w:name w:val="Footer Char"/>
    <w:basedOn w:val="DefaultParagraphFont"/>
    <w:link w:val="Footer"/>
    <w:uiPriority w:val="99"/>
    <w:rsid w:val="0069414A"/>
  </w:style>
  <w:style w:type="paragraph" w:customStyle="1" w:styleId="Title1">
    <w:name w:val="Title 1"/>
    <w:basedOn w:val="Normal"/>
    <w:link w:val="Title1Char"/>
    <w:rsid w:val="00FD2000"/>
    <w:pPr>
      <w:spacing w:line="240" w:lineRule="auto"/>
    </w:pPr>
    <w:rPr>
      <w:rFonts w:asciiTheme="minorHAnsi" w:hAnsiTheme="minorHAnsi"/>
      <w:b/>
      <w:color w:val="365F91" w:themeColor="accent1" w:themeShade="BF"/>
      <w:sz w:val="56"/>
      <w:szCs w:val="56"/>
    </w:rPr>
  </w:style>
  <w:style w:type="character" w:styleId="Hyperlink">
    <w:name w:val="Hyperlink"/>
    <w:basedOn w:val="DefaultParagraphFont"/>
    <w:uiPriority w:val="99"/>
    <w:unhideWhenUsed/>
    <w:rsid w:val="002078F3"/>
    <w:rPr>
      <w:color w:val="0000FF" w:themeColor="hyperlink"/>
      <w:u w:val="single"/>
    </w:rPr>
  </w:style>
  <w:style w:type="character" w:customStyle="1" w:styleId="Title1Char">
    <w:name w:val="Title 1 Char"/>
    <w:basedOn w:val="DefaultParagraphFont"/>
    <w:link w:val="Title1"/>
    <w:rsid w:val="00FD2000"/>
    <w:rPr>
      <w:b/>
      <w:color w:val="365F91" w:themeColor="accent1" w:themeShade="BF"/>
      <w:sz w:val="56"/>
      <w:szCs w:val="56"/>
      <w:lang w:val="en-CA"/>
    </w:rPr>
  </w:style>
  <w:style w:type="paragraph" w:styleId="NoSpacing">
    <w:name w:val="No Spacing"/>
    <w:uiPriority w:val="1"/>
    <w:rsid w:val="00D250CE"/>
    <w:pPr>
      <w:spacing w:after="0" w:line="240" w:lineRule="auto"/>
    </w:pPr>
  </w:style>
  <w:style w:type="character" w:customStyle="1" w:styleId="Heading1Char">
    <w:name w:val="Heading 1 Char"/>
    <w:basedOn w:val="DefaultParagraphFont"/>
    <w:link w:val="Heading1"/>
    <w:uiPriority w:val="9"/>
    <w:rsid w:val="00415C26"/>
    <w:rPr>
      <w:rFonts w:ascii="Avenir Next LT Pro Demi" w:eastAsiaTheme="majorEastAsia" w:hAnsi="Avenir Next LT Pro Demi" w:cstheme="majorBidi"/>
      <w:b/>
      <w:bCs/>
      <w:color w:val="29C3EC"/>
      <w:sz w:val="44"/>
      <w:szCs w:val="28"/>
      <w:lang w:val="en-CA"/>
    </w:rPr>
  </w:style>
  <w:style w:type="paragraph" w:customStyle="1" w:styleId="AuthorDateCover">
    <w:name w:val="Author/ Date Cover"/>
    <w:basedOn w:val="Title1"/>
    <w:link w:val="AuthorDateCoverChar"/>
    <w:qFormat/>
    <w:rsid w:val="00AF0C47"/>
    <w:pPr>
      <w:spacing w:after="120"/>
    </w:pPr>
    <w:rPr>
      <w:rFonts w:ascii="Avenir Next LT Pro" w:hAnsi="Avenir Next LT Pro" w:cstheme="minorHAnsi"/>
      <w:b w:val="0"/>
      <w:color w:val="FFFFFF" w:themeColor="background1"/>
      <w:sz w:val="22"/>
      <w:szCs w:val="24"/>
    </w:rPr>
  </w:style>
  <w:style w:type="character" w:customStyle="1" w:styleId="Heading2Char">
    <w:name w:val="Heading 2 Char"/>
    <w:basedOn w:val="DefaultParagraphFont"/>
    <w:link w:val="Heading2"/>
    <w:uiPriority w:val="9"/>
    <w:rsid w:val="008145F3"/>
    <w:rPr>
      <w:rFonts w:ascii="Avenir Next LT Pro Demi" w:eastAsiaTheme="majorEastAsia" w:hAnsi="Avenir Next LT Pro Demi" w:cstheme="majorBidi"/>
      <w:b/>
      <w:bCs/>
      <w:color w:val="083266"/>
      <w:sz w:val="32"/>
      <w:szCs w:val="26"/>
      <w:lang w:val="en-CA"/>
    </w:rPr>
  </w:style>
  <w:style w:type="character" w:customStyle="1" w:styleId="AuthorDateCoverChar">
    <w:name w:val="Author/ Date Cover Char"/>
    <w:basedOn w:val="Title1Char"/>
    <w:link w:val="AuthorDateCover"/>
    <w:rsid w:val="00AF0C47"/>
    <w:rPr>
      <w:rFonts w:ascii="Avenir Next LT Pro" w:hAnsi="Avenir Next LT Pro" w:cstheme="minorHAnsi"/>
      <w:b w:val="0"/>
      <w:color w:val="FFFFFF" w:themeColor="background1"/>
      <w:sz w:val="56"/>
      <w:szCs w:val="24"/>
      <w:lang w:val="en-CA"/>
    </w:rPr>
  </w:style>
  <w:style w:type="character" w:customStyle="1" w:styleId="Heading3Char">
    <w:name w:val="Heading 3 Char"/>
    <w:basedOn w:val="DefaultParagraphFont"/>
    <w:link w:val="Heading3"/>
    <w:uiPriority w:val="9"/>
    <w:rsid w:val="00721559"/>
    <w:rPr>
      <w:rFonts w:ascii="Avenir Next LT Pro Demi" w:eastAsiaTheme="majorEastAsia" w:hAnsi="Avenir Next LT Pro Demi" w:cstheme="majorBidi"/>
      <w:b/>
      <w:bCs/>
      <w:color w:val="1F497D"/>
      <w:sz w:val="26"/>
      <w:lang w:val="en-CA"/>
    </w:rPr>
  </w:style>
  <w:style w:type="table" w:styleId="TableGrid">
    <w:name w:val="Table Grid"/>
    <w:basedOn w:val="TableNormal"/>
    <w:uiPriority w:val="59"/>
    <w:rsid w:val="00AA4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urename">
    <w:name w:val="Table/Figure name"/>
    <w:basedOn w:val="Normal"/>
    <w:link w:val="TableFigurenameChar"/>
    <w:rsid w:val="00254314"/>
    <w:pPr>
      <w:spacing w:before="20" w:after="20"/>
    </w:pPr>
    <w:rPr>
      <w:b/>
      <w:color w:val="59672A"/>
    </w:rPr>
  </w:style>
  <w:style w:type="character" w:customStyle="1" w:styleId="TableFigurenameChar">
    <w:name w:val="Table/Figure name Char"/>
    <w:basedOn w:val="DefaultParagraphFont"/>
    <w:link w:val="TableFigurename"/>
    <w:rsid w:val="00254314"/>
    <w:rPr>
      <w:rFonts w:ascii="Calibri" w:hAnsi="Calibri"/>
      <w:b/>
      <w:color w:val="59672A"/>
    </w:rPr>
  </w:style>
  <w:style w:type="paragraph" w:customStyle="1" w:styleId="Source">
    <w:name w:val="Source"/>
    <w:basedOn w:val="Normal"/>
    <w:link w:val="SourceChar"/>
    <w:qFormat/>
    <w:rsid w:val="00497D18"/>
    <w:rPr>
      <w:i/>
      <w:sz w:val="20"/>
      <w:szCs w:val="20"/>
    </w:rPr>
  </w:style>
  <w:style w:type="paragraph" w:customStyle="1" w:styleId="Bodycopy">
    <w:name w:val="Body copy"/>
    <w:basedOn w:val="Normal"/>
    <w:uiPriority w:val="99"/>
    <w:rsid w:val="007C7DC9"/>
    <w:pPr>
      <w:suppressAutoHyphens/>
      <w:autoSpaceDE w:val="0"/>
      <w:autoSpaceDN w:val="0"/>
      <w:adjustRightInd w:val="0"/>
      <w:spacing w:after="144" w:line="268" w:lineRule="atLeast"/>
      <w:textAlignment w:val="center"/>
    </w:pPr>
    <w:rPr>
      <w:rFonts w:ascii="Whitney Light" w:hAnsi="Whitney Light" w:cs="Whitney Light"/>
      <w:color w:val="000000"/>
      <w:spacing w:val="-2"/>
      <w:sz w:val="20"/>
      <w:szCs w:val="20"/>
    </w:rPr>
  </w:style>
  <w:style w:type="character" w:customStyle="1" w:styleId="SourceChar">
    <w:name w:val="Source Char"/>
    <w:basedOn w:val="DefaultParagraphFont"/>
    <w:link w:val="Source"/>
    <w:rsid w:val="00497D18"/>
    <w:rPr>
      <w:rFonts w:ascii="Calibri" w:hAnsi="Calibri"/>
      <w:i/>
      <w:sz w:val="20"/>
      <w:szCs w:val="20"/>
    </w:rPr>
  </w:style>
  <w:style w:type="paragraph" w:styleId="TOC1">
    <w:name w:val="toc 1"/>
    <w:basedOn w:val="Normal"/>
    <w:next w:val="Normal"/>
    <w:autoRedefine/>
    <w:uiPriority w:val="39"/>
    <w:unhideWhenUsed/>
    <w:rsid w:val="00D72299"/>
    <w:pPr>
      <w:spacing w:after="100"/>
    </w:pPr>
  </w:style>
  <w:style w:type="paragraph" w:styleId="TOC2">
    <w:name w:val="toc 2"/>
    <w:basedOn w:val="Normal"/>
    <w:next w:val="Normal"/>
    <w:autoRedefine/>
    <w:uiPriority w:val="39"/>
    <w:unhideWhenUsed/>
    <w:rsid w:val="00D72299"/>
    <w:pPr>
      <w:spacing w:after="100"/>
      <w:ind w:left="220"/>
    </w:pPr>
  </w:style>
  <w:style w:type="paragraph" w:styleId="TOC3">
    <w:name w:val="toc 3"/>
    <w:basedOn w:val="Normal"/>
    <w:next w:val="Normal"/>
    <w:autoRedefine/>
    <w:uiPriority w:val="39"/>
    <w:unhideWhenUsed/>
    <w:rsid w:val="00D72299"/>
    <w:pPr>
      <w:spacing w:after="100"/>
      <w:ind w:left="440"/>
    </w:pPr>
  </w:style>
  <w:style w:type="character" w:customStyle="1" w:styleId="Heading4Char">
    <w:name w:val="Heading 4 Char"/>
    <w:basedOn w:val="DefaultParagraphFont"/>
    <w:link w:val="Heading4"/>
    <w:uiPriority w:val="9"/>
    <w:rsid w:val="00721559"/>
    <w:rPr>
      <w:rFonts w:ascii="Avenir Next LT Pro Demi" w:eastAsiaTheme="majorEastAsia" w:hAnsi="Avenir Next LT Pro Demi" w:cstheme="majorBidi"/>
      <w:b/>
      <w:bCs/>
      <w:iCs/>
      <w:color w:val="000000" w:themeColor="text1"/>
    </w:rPr>
  </w:style>
  <w:style w:type="paragraph" w:styleId="NormalWeb">
    <w:name w:val="Normal (Web)"/>
    <w:basedOn w:val="Normal"/>
    <w:uiPriority w:val="99"/>
    <w:semiHidden/>
    <w:unhideWhenUsed/>
    <w:rsid w:val="0042180C"/>
    <w:pPr>
      <w:spacing w:before="100" w:beforeAutospacing="1" w:after="100" w:afterAutospacing="1" w:line="240" w:lineRule="auto"/>
    </w:pPr>
    <w:rPr>
      <w:rFonts w:ascii="Times New Roman" w:eastAsiaTheme="minorEastAsia" w:hAnsi="Times New Roman" w:cs="Times New Roman"/>
      <w:sz w:val="24"/>
      <w:szCs w:val="24"/>
      <w:lang w:eastAsia="en-CA"/>
    </w:rPr>
  </w:style>
  <w:style w:type="paragraph" w:customStyle="1" w:styleId="Default">
    <w:name w:val="Default"/>
    <w:rsid w:val="00860EC4"/>
    <w:pPr>
      <w:autoSpaceDE w:val="0"/>
      <w:autoSpaceDN w:val="0"/>
      <w:adjustRightInd w:val="0"/>
      <w:spacing w:after="0" w:line="240" w:lineRule="auto"/>
    </w:pPr>
    <w:rPr>
      <w:rFonts w:ascii="Arial" w:hAnsi="Arial" w:cs="Arial"/>
      <w:color w:val="000000"/>
      <w:sz w:val="24"/>
      <w:szCs w:val="24"/>
      <w:lang w:val="en-CA"/>
    </w:rPr>
  </w:style>
  <w:style w:type="paragraph" w:styleId="ListParagraph">
    <w:name w:val="List Paragraph"/>
    <w:basedOn w:val="Normal"/>
    <w:uiPriority w:val="34"/>
    <w:qFormat/>
    <w:rsid w:val="00BD7CC3"/>
    <w:pPr>
      <w:ind w:left="720"/>
      <w:contextualSpacing/>
    </w:pPr>
  </w:style>
  <w:style w:type="character" w:customStyle="1" w:styleId="Heading5Char">
    <w:name w:val="Heading 5 Char"/>
    <w:basedOn w:val="DefaultParagraphFont"/>
    <w:link w:val="Heading5"/>
    <w:uiPriority w:val="9"/>
    <w:rsid w:val="0097278A"/>
    <w:rPr>
      <w:rFonts w:ascii="Avenir Next LT Pro" w:eastAsiaTheme="majorEastAsia" w:hAnsi="Avenir Next LT Pro" w:cstheme="majorBidi"/>
      <w:b/>
      <w:color w:val="7F7F7F" w:themeColor="text1" w:themeTint="80"/>
    </w:rPr>
  </w:style>
  <w:style w:type="paragraph" w:styleId="IntenseQuote">
    <w:name w:val="Intense Quote"/>
    <w:aliases w:val="quote"/>
    <w:basedOn w:val="Normal"/>
    <w:next w:val="Normal"/>
    <w:link w:val="IntenseQuoteChar"/>
    <w:uiPriority w:val="30"/>
    <w:qFormat/>
    <w:rsid w:val="004709DB"/>
    <w:pPr>
      <w:pBdr>
        <w:top w:val="single" w:sz="4" w:space="10" w:color="4F81BD" w:themeColor="accent1"/>
        <w:bottom w:val="single" w:sz="4" w:space="10" w:color="4F81BD" w:themeColor="accent1"/>
      </w:pBdr>
      <w:spacing w:before="360" w:after="360" w:line="300" w:lineRule="auto"/>
    </w:pPr>
    <w:rPr>
      <w:rFonts w:ascii="Avenir Next LT Pro" w:hAnsi="Avenir Next LT Pro"/>
      <w:iCs/>
      <w:color w:val="083266"/>
      <w:sz w:val="28"/>
    </w:rPr>
  </w:style>
  <w:style w:type="character" w:customStyle="1" w:styleId="IntenseQuoteChar">
    <w:name w:val="Intense Quote Char"/>
    <w:aliases w:val="quote Char"/>
    <w:basedOn w:val="DefaultParagraphFont"/>
    <w:link w:val="IntenseQuote"/>
    <w:uiPriority w:val="30"/>
    <w:rsid w:val="004709DB"/>
    <w:rPr>
      <w:rFonts w:ascii="Avenir Next LT Pro" w:hAnsi="Avenir Next LT Pro"/>
      <w:iCs/>
      <w:color w:val="083266"/>
      <w:sz w:val="28"/>
      <w:lang w:val="en-CA"/>
    </w:rPr>
  </w:style>
  <w:style w:type="paragraph" w:customStyle="1" w:styleId="Tablename">
    <w:name w:val="Table name"/>
    <w:basedOn w:val="Normal"/>
    <w:link w:val="TablenameChar"/>
    <w:qFormat/>
    <w:rsid w:val="00891494"/>
    <w:pPr>
      <w:spacing w:after="200"/>
    </w:pPr>
    <w:rPr>
      <w:rFonts w:ascii="Avenir Next LT Pro" w:hAnsi="Avenir Next LT Pro"/>
      <w:b/>
      <w:color w:val="083266"/>
    </w:rPr>
  </w:style>
  <w:style w:type="character" w:customStyle="1" w:styleId="TablenameChar">
    <w:name w:val="Table name Char"/>
    <w:basedOn w:val="DefaultParagraphFont"/>
    <w:link w:val="Tablename"/>
    <w:rsid w:val="00891494"/>
    <w:rPr>
      <w:rFonts w:ascii="Avenir Next LT Pro" w:hAnsi="Avenir Next LT Pro"/>
      <w:b/>
      <w:color w:val="083266"/>
    </w:rPr>
  </w:style>
  <w:style w:type="paragraph" w:customStyle="1" w:styleId="CoverMainHeading">
    <w:name w:val="Cover Main Heading"/>
    <w:basedOn w:val="Title1"/>
    <w:link w:val="CoverMainHeadingChar"/>
    <w:qFormat/>
    <w:rsid w:val="00826616"/>
    <w:pPr>
      <w:spacing w:after="120"/>
    </w:pPr>
    <w:rPr>
      <w:rFonts w:ascii="Avenir Next LT Pro Demi" w:hAnsi="Avenir Next LT Pro Demi" w:cs="Arial"/>
      <w:color w:val="FFFFFF" w:themeColor="background1"/>
      <w:sz w:val="70"/>
      <w:szCs w:val="70"/>
    </w:rPr>
  </w:style>
  <w:style w:type="paragraph" w:customStyle="1" w:styleId="CoverSubheader">
    <w:name w:val="Cover Subheader"/>
    <w:basedOn w:val="Title1"/>
    <w:link w:val="CoverSubheaderChar"/>
    <w:qFormat/>
    <w:rsid w:val="00DC4787"/>
    <w:rPr>
      <w:rFonts w:ascii="Avenir Next LT Pro" w:hAnsi="Avenir Next LT Pro" w:cs="Arial"/>
      <w:b w:val="0"/>
      <w:color w:val="FFFFFF" w:themeColor="background1"/>
      <w:sz w:val="44"/>
      <w:szCs w:val="44"/>
    </w:rPr>
  </w:style>
  <w:style w:type="character" w:customStyle="1" w:styleId="CoverMainHeadingChar">
    <w:name w:val="Cover Main Heading Char"/>
    <w:basedOn w:val="Title1Char"/>
    <w:link w:val="CoverMainHeading"/>
    <w:rsid w:val="00826616"/>
    <w:rPr>
      <w:rFonts w:ascii="Avenir Next LT Pro Demi" w:hAnsi="Avenir Next LT Pro Demi" w:cs="Arial"/>
      <w:b/>
      <w:color w:val="FFFFFF" w:themeColor="background1"/>
      <w:sz w:val="70"/>
      <w:szCs w:val="70"/>
      <w:lang w:val="en-CA"/>
    </w:rPr>
  </w:style>
  <w:style w:type="paragraph" w:customStyle="1" w:styleId="References">
    <w:name w:val="References"/>
    <w:basedOn w:val="Normal"/>
    <w:link w:val="ReferencesChar"/>
    <w:uiPriority w:val="99"/>
    <w:qFormat/>
    <w:rsid w:val="00C331AA"/>
    <w:pPr>
      <w:ind w:left="284" w:hanging="284"/>
    </w:pPr>
  </w:style>
  <w:style w:type="character" w:customStyle="1" w:styleId="CoverSubheaderChar">
    <w:name w:val="Cover Subheader Char"/>
    <w:basedOn w:val="Title1Char"/>
    <w:link w:val="CoverSubheader"/>
    <w:rsid w:val="00DC4787"/>
    <w:rPr>
      <w:rFonts w:ascii="Avenir Next LT Pro" w:hAnsi="Avenir Next LT Pro" w:cs="Arial"/>
      <w:b w:val="0"/>
      <w:color w:val="FFFFFF" w:themeColor="background1"/>
      <w:sz w:val="44"/>
      <w:szCs w:val="44"/>
      <w:lang w:val="en-CA"/>
    </w:rPr>
  </w:style>
  <w:style w:type="character" w:customStyle="1" w:styleId="PlantinItalic">
    <w:name w:val="Plantin Italic"/>
    <w:uiPriority w:val="99"/>
    <w:rsid w:val="00797C12"/>
    <w:rPr>
      <w:i/>
      <w:iCs/>
      <w:color w:val="000000"/>
      <w:u w:val="none"/>
    </w:rPr>
  </w:style>
  <w:style w:type="character" w:customStyle="1" w:styleId="ReferencesChar">
    <w:name w:val="References Char"/>
    <w:basedOn w:val="DefaultParagraphFont"/>
    <w:link w:val="References"/>
    <w:uiPriority w:val="99"/>
    <w:rsid w:val="00C331AA"/>
    <w:rPr>
      <w:rFonts w:ascii="Georgia" w:hAnsi="Georgia"/>
      <w:lang w:val="en-CA"/>
    </w:rPr>
  </w:style>
  <w:style w:type="paragraph" w:customStyle="1" w:styleId="FiguretitleFigure">
    <w:name w:val="Figure title (Figure)"/>
    <w:basedOn w:val="Normal"/>
    <w:link w:val="FiguretitleFigureChar"/>
    <w:uiPriority w:val="99"/>
    <w:rsid w:val="00116AB8"/>
    <w:pPr>
      <w:keepNext/>
      <w:keepLines/>
      <w:suppressAutoHyphens/>
      <w:autoSpaceDE w:val="0"/>
      <w:autoSpaceDN w:val="0"/>
      <w:adjustRightInd w:val="0"/>
      <w:spacing w:before="180" w:after="0" w:line="300" w:lineRule="atLeast"/>
      <w:textAlignment w:val="center"/>
    </w:pPr>
    <w:rPr>
      <w:rFonts w:ascii="Campton Book" w:hAnsi="Campton Book" w:cs="Campton Book"/>
      <w:i/>
      <w:iCs/>
      <w:color w:val="000000"/>
    </w:rPr>
  </w:style>
  <w:style w:type="paragraph" w:customStyle="1" w:styleId="SourceFigure">
    <w:name w:val="Source (Figure)"/>
    <w:basedOn w:val="Normal"/>
    <w:link w:val="SourceFigureChar"/>
    <w:uiPriority w:val="99"/>
    <w:rsid w:val="00A4098D"/>
    <w:pPr>
      <w:keepLines/>
      <w:suppressAutoHyphens/>
      <w:autoSpaceDE w:val="0"/>
      <w:autoSpaceDN w:val="0"/>
      <w:adjustRightInd w:val="0"/>
      <w:spacing w:before="90" w:after="360" w:line="240" w:lineRule="atLeast"/>
      <w:textAlignment w:val="center"/>
    </w:pPr>
    <w:rPr>
      <w:rFonts w:ascii="Campton Book" w:hAnsi="Campton Book" w:cs="Campton Book"/>
      <w:color w:val="000000"/>
      <w:sz w:val="18"/>
      <w:szCs w:val="18"/>
    </w:rPr>
  </w:style>
  <w:style w:type="paragraph" w:customStyle="1" w:styleId="Figurename">
    <w:name w:val="Figure name"/>
    <w:basedOn w:val="FiguretitleFigure"/>
    <w:link w:val="FigurenameChar"/>
    <w:qFormat/>
    <w:rsid w:val="00D86748"/>
    <w:pPr>
      <w:spacing w:after="120"/>
    </w:pPr>
    <w:rPr>
      <w:rFonts w:ascii="Avenir Next LT Pro" w:hAnsi="Avenir Next LT Pro"/>
      <w:b/>
      <w:i w:val="0"/>
      <w:iCs w:val="0"/>
      <w:color w:val="002060"/>
    </w:rPr>
  </w:style>
  <w:style w:type="paragraph" w:customStyle="1" w:styleId="FigureSource">
    <w:name w:val="Figure Source"/>
    <w:basedOn w:val="SourceFigure"/>
    <w:link w:val="FigureSourceChar"/>
    <w:rsid w:val="00D85D98"/>
    <w:rPr>
      <w:rFonts w:ascii="Avenir Next LT Pro" w:hAnsi="Avenir Next LT Pro"/>
    </w:rPr>
  </w:style>
  <w:style w:type="character" w:customStyle="1" w:styleId="FiguretitleFigureChar">
    <w:name w:val="Figure title (Figure) Char"/>
    <w:basedOn w:val="DefaultParagraphFont"/>
    <w:link w:val="FiguretitleFigure"/>
    <w:uiPriority w:val="99"/>
    <w:rsid w:val="00D85D98"/>
    <w:rPr>
      <w:rFonts w:ascii="Campton Book" w:hAnsi="Campton Book" w:cs="Campton Book"/>
      <w:i/>
      <w:iCs/>
      <w:color w:val="000000"/>
    </w:rPr>
  </w:style>
  <w:style w:type="character" w:customStyle="1" w:styleId="FigurenameChar">
    <w:name w:val="Figure name Char"/>
    <w:basedOn w:val="FiguretitleFigureChar"/>
    <w:link w:val="Figurename"/>
    <w:rsid w:val="00D86748"/>
    <w:rPr>
      <w:rFonts w:ascii="Avenir Next LT Pro" w:hAnsi="Avenir Next LT Pro" w:cs="Campton Book"/>
      <w:b/>
      <w:i w:val="0"/>
      <w:iCs w:val="0"/>
      <w:color w:val="002060"/>
      <w:lang w:val="en-CA"/>
    </w:rPr>
  </w:style>
  <w:style w:type="paragraph" w:customStyle="1" w:styleId="H1">
    <w:name w:val="H1"/>
    <w:basedOn w:val="Normal"/>
    <w:next w:val="Normal"/>
    <w:uiPriority w:val="99"/>
    <w:rsid w:val="001D09EB"/>
    <w:pPr>
      <w:keepNext/>
      <w:keepLines/>
      <w:pageBreakBefore/>
      <w:suppressAutoHyphens/>
      <w:autoSpaceDE w:val="0"/>
      <w:autoSpaceDN w:val="0"/>
      <w:adjustRightInd w:val="0"/>
      <w:spacing w:before="360" w:after="360" w:line="520" w:lineRule="atLeast"/>
      <w:textAlignment w:val="center"/>
    </w:pPr>
    <w:rPr>
      <w:rFonts w:ascii="Campton SemiBold" w:hAnsi="Campton SemiBold" w:cs="Campton SemiBold"/>
      <w:b/>
      <w:bCs/>
      <w:color w:val="29C3EC"/>
      <w:sz w:val="44"/>
      <w:szCs w:val="44"/>
    </w:rPr>
  </w:style>
  <w:style w:type="character" w:customStyle="1" w:styleId="SourceFigureChar">
    <w:name w:val="Source (Figure) Char"/>
    <w:basedOn w:val="DefaultParagraphFont"/>
    <w:link w:val="SourceFigure"/>
    <w:uiPriority w:val="99"/>
    <w:rsid w:val="00D85D98"/>
    <w:rPr>
      <w:rFonts w:ascii="Campton Book" w:hAnsi="Campton Book" w:cs="Campton Book"/>
      <w:color w:val="000000"/>
      <w:sz w:val="18"/>
      <w:szCs w:val="18"/>
    </w:rPr>
  </w:style>
  <w:style w:type="character" w:customStyle="1" w:styleId="FigureSourceChar">
    <w:name w:val="Figure Source Char"/>
    <w:basedOn w:val="SourceFigureChar"/>
    <w:link w:val="FigureSource"/>
    <w:rsid w:val="00D85D98"/>
    <w:rPr>
      <w:rFonts w:ascii="Avenir Next LT Pro" w:hAnsi="Avenir Next LT Pro" w:cs="Campton Book"/>
      <w:color w:val="000000"/>
      <w:sz w:val="18"/>
      <w:szCs w:val="18"/>
    </w:rPr>
  </w:style>
  <w:style w:type="paragraph" w:customStyle="1" w:styleId="H2">
    <w:name w:val="H2"/>
    <w:basedOn w:val="Normal"/>
    <w:next w:val="Normal"/>
    <w:uiPriority w:val="99"/>
    <w:rsid w:val="001D09EB"/>
    <w:pPr>
      <w:keepNext/>
      <w:keepLines/>
      <w:suppressAutoHyphens/>
      <w:autoSpaceDE w:val="0"/>
      <w:autoSpaceDN w:val="0"/>
      <w:adjustRightInd w:val="0"/>
      <w:spacing w:before="180" w:after="180" w:line="380" w:lineRule="atLeast"/>
      <w:textAlignment w:val="center"/>
    </w:pPr>
    <w:rPr>
      <w:rFonts w:ascii="Campton SemiBold" w:hAnsi="Campton SemiBold" w:cs="Campton SemiBold"/>
      <w:b/>
      <w:bCs/>
      <w:color w:val="093266"/>
      <w:sz w:val="32"/>
      <w:szCs w:val="32"/>
    </w:rPr>
  </w:style>
  <w:style w:type="paragraph" w:customStyle="1" w:styleId="BulletsLists">
    <w:name w:val="Bullets (Lists)"/>
    <w:basedOn w:val="Normal"/>
    <w:link w:val="BulletsListsChar"/>
    <w:uiPriority w:val="99"/>
    <w:rsid w:val="001D09EB"/>
    <w:pPr>
      <w:suppressAutoHyphens/>
      <w:autoSpaceDE w:val="0"/>
      <w:autoSpaceDN w:val="0"/>
      <w:adjustRightInd w:val="0"/>
      <w:spacing w:after="180" w:line="300" w:lineRule="atLeast"/>
      <w:ind w:left="720" w:hanging="270"/>
      <w:textAlignment w:val="center"/>
    </w:pPr>
    <w:rPr>
      <w:rFonts w:ascii="Plantin MT Pro" w:hAnsi="Plantin MT Pro" w:cs="Plantin MT Pro"/>
      <w:color w:val="000000"/>
    </w:rPr>
  </w:style>
  <w:style w:type="paragraph" w:customStyle="1" w:styleId="2-BulletsListsLevel2">
    <w:name w:val="2-Bullets (Lists:Level 2)"/>
    <w:basedOn w:val="BulletsLists"/>
    <w:uiPriority w:val="99"/>
    <w:rsid w:val="001D09EB"/>
    <w:pPr>
      <w:ind w:left="1260"/>
    </w:pPr>
  </w:style>
  <w:style w:type="paragraph" w:customStyle="1" w:styleId="Bullets">
    <w:name w:val="Bullets"/>
    <w:basedOn w:val="BulletsLists"/>
    <w:link w:val="BulletsChar"/>
    <w:qFormat/>
    <w:rsid w:val="004709DB"/>
    <w:pPr>
      <w:numPr>
        <w:numId w:val="7"/>
      </w:numPr>
      <w:spacing w:after="120" w:line="360" w:lineRule="auto"/>
      <w:ind w:left="714" w:hanging="357"/>
    </w:pPr>
    <w:rPr>
      <w:rFonts w:ascii="Georgia" w:hAnsi="Georgia"/>
    </w:rPr>
  </w:style>
  <w:style w:type="paragraph" w:customStyle="1" w:styleId="Numbers1Lists">
    <w:name w:val="Numbers (1) (Lists)"/>
    <w:basedOn w:val="Normal"/>
    <w:uiPriority w:val="99"/>
    <w:rsid w:val="00794D3F"/>
    <w:pPr>
      <w:suppressAutoHyphens/>
      <w:autoSpaceDE w:val="0"/>
      <w:autoSpaceDN w:val="0"/>
      <w:adjustRightInd w:val="0"/>
      <w:spacing w:after="90" w:line="300" w:lineRule="atLeast"/>
      <w:ind w:left="720" w:hanging="180"/>
      <w:textAlignment w:val="center"/>
    </w:pPr>
    <w:rPr>
      <w:rFonts w:ascii="Plantin MT Pro" w:hAnsi="Plantin MT Pro" w:cs="Plantin MT Pro"/>
      <w:color w:val="000000"/>
    </w:rPr>
  </w:style>
  <w:style w:type="character" w:customStyle="1" w:styleId="BulletsListsChar">
    <w:name w:val="Bullets (Lists) Char"/>
    <w:basedOn w:val="DefaultParagraphFont"/>
    <w:link w:val="BulletsLists"/>
    <w:uiPriority w:val="99"/>
    <w:rsid w:val="00395ABB"/>
    <w:rPr>
      <w:rFonts w:ascii="Plantin MT Pro" w:hAnsi="Plantin MT Pro" w:cs="Plantin MT Pro"/>
      <w:color w:val="000000"/>
    </w:rPr>
  </w:style>
  <w:style w:type="character" w:customStyle="1" w:styleId="BulletsChar">
    <w:name w:val="Bullets Char"/>
    <w:basedOn w:val="BulletsListsChar"/>
    <w:link w:val="Bullets"/>
    <w:rsid w:val="004709DB"/>
    <w:rPr>
      <w:rFonts w:ascii="Georgia" w:hAnsi="Georgia" w:cs="Plantin MT Pro"/>
      <w:color w:val="000000"/>
      <w:lang w:val="en-CA"/>
    </w:rPr>
  </w:style>
  <w:style w:type="paragraph" w:customStyle="1" w:styleId="Numbers2Lists">
    <w:name w:val="Numbers (2+) (Lists)"/>
    <w:basedOn w:val="Numbers1Lists"/>
    <w:uiPriority w:val="99"/>
    <w:rsid w:val="00794D3F"/>
  </w:style>
  <w:style w:type="paragraph" w:customStyle="1" w:styleId="NumberslastLists">
    <w:name w:val="Numbers (last) (Lists)"/>
    <w:basedOn w:val="Numbers2Lists"/>
    <w:uiPriority w:val="99"/>
    <w:rsid w:val="00794D3F"/>
    <w:pPr>
      <w:spacing w:after="180"/>
    </w:pPr>
  </w:style>
  <w:style w:type="paragraph" w:customStyle="1" w:styleId="2-LettersaListsLevel2">
    <w:name w:val="2-Letters (a) (Lists:Level 2)"/>
    <w:basedOn w:val="Normal"/>
    <w:uiPriority w:val="99"/>
    <w:rsid w:val="00794D3F"/>
    <w:pPr>
      <w:suppressAutoHyphens/>
      <w:autoSpaceDE w:val="0"/>
      <w:autoSpaceDN w:val="0"/>
      <w:adjustRightInd w:val="0"/>
      <w:spacing w:after="90" w:line="300" w:lineRule="atLeast"/>
      <w:ind w:left="1260" w:hanging="180"/>
      <w:textAlignment w:val="center"/>
    </w:pPr>
    <w:rPr>
      <w:rFonts w:ascii="Plantin MT Pro" w:hAnsi="Plantin MT Pro" w:cs="Plantin MT Pro"/>
      <w:color w:val="000000"/>
    </w:rPr>
  </w:style>
  <w:style w:type="paragraph" w:customStyle="1" w:styleId="2-LettersbListsLevel2">
    <w:name w:val="2-Letters (b+) (Lists:Level 2)"/>
    <w:basedOn w:val="2-LettersaListsLevel2"/>
    <w:uiPriority w:val="99"/>
    <w:rsid w:val="00794D3F"/>
  </w:style>
  <w:style w:type="paragraph" w:customStyle="1" w:styleId="2-LetterslastListsLevel2">
    <w:name w:val="2-Letters (last) (Lists:Level 2)"/>
    <w:basedOn w:val="2-LettersbListsLevel2"/>
    <w:uiPriority w:val="99"/>
    <w:rsid w:val="00794D3F"/>
    <w:pPr>
      <w:spacing w:after="180"/>
    </w:pPr>
  </w:style>
  <w:style w:type="paragraph" w:customStyle="1" w:styleId="3-RomannumeralsiListsLevel3">
    <w:name w:val="3-Roman numerals (i) (Lists:Level 3)"/>
    <w:basedOn w:val="Numbers1Lists"/>
    <w:uiPriority w:val="99"/>
    <w:rsid w:val="00794D3F"/>
    <w:pPr>
      <w:ind w:left="1800"/>
    </w:pPr>
  </w:style>
  <w:style w:type="paragraph" w:customStyle="1" w:styleId="Numbers">
    <w:name w:val="Numbers"/>
    <w:basedOn w:val="Bullets"/>
    <w:link w:val="NumbersChar"/>
    <w:qFormat/>
    <w:rsid w:val="00997D07"/>
    <w:pPr>
      <w:numPr>
        <w:numId w:val="8"/>
      </w:numPr>
    </w:pPr>
  </w:style>
  <w:style w:type="paragraph" w:customStyle="1" w:styleId="TableHeader">
    <w:name w:val="Table Header"/>
    <w:basedOn w:val="TableFigurename"/>
    <w:link w:val="TableHeaderChar"/>
    <w:rsid w:val="004709DB"/>
    <w:pPr>
      <w:spacing w:before="0" w:after="0" w:line="300" w:lineRule="auto"/>
    </w:pPr>
    <w:rPr>
      <w:rFonts w:ascii="Avenir Next LT Pro Demi" w:hAnsi="Avenir Next LT Pro Demi"/>
      <w:bCs/>
      <w:color w:val="FFFFFF" w:themeColor="background1"/>
      <w:sz w:val="20"/>
      <w:szCs w:val="20"/>
    </w:rPr>
  </w:style>
  <w:style w:type="character" w:customStyle="1" w:styleId="NumbersChar">
    <w:name w:val="Numbers Char"/>
    <w:basedOn w:val="BulletsChar"/>
    <w:link w:val="Numbers"/>
    <w:rsid w:val="00997D07"/>
    <w:rPr>
      <w:rFonts w:ascii="Georgia" w:hAnsi="Georgia" w:cs="Plantin MT Pro"/>
      <w:color w:val="000000"/>
      <w:lang w:val="en-CA"/>
    </w:rPr>
  </w:style>
  <w:style w:type="paragraph" w:customStyle="1" w:styleId="TableText">
    <w:name w:val="Table Text"/>
    <w:basedOn w:val="Normal"/>
    <w:link w:val="TableTextChar"/>
    <w:qFormat/>
    <w:rsid w:val="004709DB"/>
    <w:pPr>
      <w:spacing w:after="0" w:line="300" w:lineRule="auto"/>
    </w:pPr>
    <w:rPr>
      <w:rFonts w:ascii="Avenir Next LT Pro" w:hAnsi="Avenir Next LT Pro"/>
      <w:sz w:val="20"/>
      <w:szCs w:val="20"/>
    </w:rPr>
  </w:style>
  <w:style w:type="character" w:customStyle="1" w:styleId="TableHeaderChar">
    <w:name w:val="Table Header Char"/>
    <w:basedOn w:val="TableFigurenameChar"/>
    <w:link w:val="TableHeader"/>
    <w:rsid w:val="004709DB"/>
    <w:rPr>
      <w:rFonts w:ascii="Avenir Next LT Pro Demi" w:hAnsi="Avenir Next LT Pro Demi"/>
      <w:b/>
      <w:bCs/>
      <w:color w:val="FFFFFF" w:themeColor="background1"/>
      <w:sz w:val="20"/>
      <w:szCs w:val="20"/>
      <w:lang w:val="en-CA"/>
    </w:rPr>
  </w:style>
  <w:style w:type="character" w:customStyle="1" w:styleId="TableTextChar">
    <w:name w:val="Table Text Char"/>
    <w:basedOn w:val="DefaultParagraphFont"/>
    <w:link w:val="TableText"/>
    <w:rsid w:val="004709DB"/>
    <w:rPr>
      <w:rFonts w:ascii="Avenir Next LT Pro" w:hAnsi="Avenir Next LT Pro"/>
      <w:sz w:val="20"/>
      <w:szCs w:val="20"/>
      <w:lang w:val="en-CA"/>
    </w:rPr>
  </w:style>
  <w:style w:type="character" w:styleId="CommentReference">
    <w:name w:val="annotation reference"/>
    <w:basedOn w:val="DefaultParagraphFont"/>
    <w:uiPriority w:val="99"/>
    <w:semiHidden/>
    <w:unhideWhenUsed/>
    <w:rsid w:val="00AC2063"/>
    <w:rPr>
      <w:sz w:val="16"/>
      <w:szCs w:val="16"/>
    </w:rPr>
  </w:style>
  <w:style w:type="paragraph" w:styleId="CommentText">
    <w:name w:val="annotation text"/>
    <w:basedOn w:val="Normal"/>
    <w:link w:val="CommentTextChar"/>
    <w:uiPriority w:val="99"/>
    <w:semiHidden/>
    <w:unhideWhenUsed/>
    <w:rsid w:val="00AC2063"/>
    <w:pPr>
      <w:spacing w:line="240" w:lineRule="auto"/>
    </w:pPr>
    <w:rPr>
      <w:sz w:val="20"/>
      <w:szCs w:val="20"/>
    </w:rPr>
  </w:style>
  <w:style w:type="character" w:customStyle="1" w:styleId="CommentTextChar">
    <w:name w:val="Comment Text Char"/>
    <w:basedOn w:val="DefaultParagraphFont"/>
    <w:link w:val="CommentText"/>
    <w:uiPriority w:val="99"/>
    <w:semiHidden/>
    <w:rsid w:val="00AC2063"/>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AC2063"/>
    <w:rPr>
      <w:b/>
      <w:bCs/>
    </w:rPr>
  </w:style>
  <w:style w:type="character" w:customStyle="1" w:styleId="CommentSubjectChar">
    <w:name w:val="Comment Subject Char"/>
    <w:basedOn w:val="CommentTextChar"/>
    <w:link w:val="CommentSubject"/>
    <w:uiPriority w:val="99"/>
    <w:semiHidden/>
    <w:rsid w:val="00AC2063"/>
    <w:rPr>
      <w:rFonts w:ascii="Georgia" w:hAnsi="Georgia"/>
      <w:b/>
      <w:bCs/>
      <w:sz w:val="20"/>
      <w:szCs w:val="20"/>
    </w:rPr>
  </w:style>
  <w:style w:type="paragraph" w:customStyle="1" w:styleId="BasicParagraph">
    <w:name w:val="[Basic Paragraph]"/>
    <w:basedOn w:val="Normal"/>
    <w:link w:val="BasicParagraphChar"/>
    <w:uiPriority w:val="99"/>
    <w:rsid w:val="00433F87"/>
    <w:pPr>
      <w:suppressAutoHyphens/>
      <w:autoSpaceDE w:val="0"/>
      <w:autoSpaceDN w:val="0"/>
      <w:adjustRightInd w:val="0"/>
      <w:spacing w:after="180" w:line="300" w:lineRule="atLeast"/>
      <w:textAlignment w:val="center"/>
    </w:pPr>
    <w:rPr>
      <w:rFonts w:ascii="Plantin MT Pro" w:hAnsi="Plantin MT Pro" w:cs="Plantin MT Pro"/>
      <w:color w:val="000000"/>
    </w:rPr>
  </w:style>
  <w:style w:type="paragraph" w:customStyle="1" w:styleId="BackCoverBody">
    <w:name w:val="Back Cover Body"/>
    <w:basedOn w:val="BasicParagraph"/>
    <w:qFormat/>
    <w:rsid w:val="00CC7A50"/>
    <w:rPr>
      <w:rFonts w:ascii="Georgia" w:hAnsi="Georgia"/>
      <w:color w:val="FFFFFF" w:themeColor="background1"/>
    </w:rPr>
  </w:style>
  <w:style w:type="paragraph" w:customStyle="1" w:styleId="BackCoverHeader">
    <w:name w:val="Back Cover Header"/>
    <w:basedOn w:val="BasicParagraph"/>
    <w:qFormat/>
    <w:rsid w:val="00CC7A50"/>
    <w:pPr>
      <w:spacing w:line="240" w:lineRule="auto"/>
    </w:pPr>
    <w:rPr>
      <w:rFonts w:ascii="Georgia" w:hAnsi="Georgia"/>
      <w:b/>
      <w:bCs/>
      <w:color w:val="FFFFFF" w:themeColor="background1"/>
    </w:rPr>
  </w:style>
  <w:style w:type="paragraph" w:customStyle="1" w:styleId="BackCoverIISDWebsite">
    <w:name w:val="Back Cover IISD Website"/>
    <w:basedOn w:val="BasicParagraph"/>
    <w:qFormat/>
    <w:rsid w:val="00B71D25"/>
    <w:rPr>
      <w:rFonts w:ascii="Avenir Next LT Pro Demi" w:hAnsi="Avenir Next LT Pro Demi"/>
      <w:color w:val="FFFFFF" w:themeColor="background1"/>
      <w:sz w:val="56"/>
      <w:szCs w:val="56"/>
    </w:rPr>
  </w:style>
  <w:style w:type="character" w:customStyle="1" w:styleId="BasicParagraphChar">
    <w:name w:val="[Basic Paragraph] Char"/>
    <w:basedOn w:val="DefaultParagraphFont"/>
    <w:link w:val="BasicParagraph"/>
    <w:uiPriority w:val="99"/>
    <w:rsid w:val="00E81749"/>
    <w:rPr>
      <w:rFonts w:ascii="Plantin MT Pro" w:hAnsi="Plantin MT Pro" w:cs="Plantin MT Pro"/>
      <w:color w:val="000000"/>
      <w:lang w:val="en-CA"/>
    </w:rPr>
  </w:style>
  <w:style w:type="paragraph" w:customStyle="1" w:styleId="Boxname">
    <w:name w:val="Box name"/>
    <w:basedOn w:val="Figurename"/>
    <w:qFormat/>
    <w:rsid w:val="00A32EAF"/>
    <w:pPr>
      <w:spacing w:before="0"/>
    </w:pPr>
  </w:style>
  <w:style w:type="paragraph" w:customStyle="1" w:styleId="box-text">
    <w:name w:val="box-text"/>
    <w:basedOn w:val="TableText"/>
    <w:qFormat/>
    <w:rsid w:val="00A32EAF"/>
    <w:pPr>
      <w:spacing w:after="120"/>
    </w:pPr>
  </w:style>
  <w:style w:type="paragraph" w:styleId="FootnoteText">
    <w:name w:val="footnote text"/>
    <w:basedOn w:val="Normal"/>
    <w:link w:val="FootnoteTextChar"/>
    <w:uiPriority w:val="99"/>
    <w:semiHidden/>
    <w:unhideWhenUsed/>
    <w:rsid w:val="002026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26DB"/>
    <w:rPr>
      <w:rFonts w:ascii="Georgia" w:hAnsi="Georgia"/>
      <w:sz w:val="20"/>
      <w:szCs w:val="20"/>
      <w:lang w:val="en-CA"/>
    </w:rPr>
  </w:style>
  <w:style w:type="character" w:styleId="FootnoteReference">
    <w:name w:val="footnote reference"/>
    <w:basedOn w:val="DefaultParagraphFont"/>
    <w:uiPriority w:val="99"/>
    <w:semiHidden/>
    <w:unhideWhenUsed/>
    <w:rsid w:val="002026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1153">
      <w:bodyDiv w:val="1"/>
      <w:marLeft w:val="0"/>
      <w:marRight w:val="0"/>
      <w:marTop w:val="0"/>
      <w:marBottom w:val="0"/>
      <w:divBdr>
        <w:top w:val="none" w:sz="0" w:space="0" w:color="auto"/>
        <w:left w:val="none" w:sz="0" w:space="0" w:color="auto"/>
        <w:bottom w:val="none" w:sz="0" w:space="0" w:color="auto"/>
        <w:right w:val="none" w:sz="0" w:space="0" w:color="auto"/>
      </w:divBdr>
    </w:div>
    <w:div w:id="41369246">
      <w:bodyDiv w:val="1"/>
      <w:marLeft w:val="0"/>
      <w:marRight w:val="0"/>
      <w:marTop w:val="0"/>
      <w:marBottom w:val="0"/>
      <w:divBdr>
        <w:top w:val="none" w:sz="0" w:space="0" w:color="auto"/>
        <w:left w:val="none" w:sz="0" w:space="0" w:color="auto"/>
        <w:bottom w:val="none" w:sz="0" w:space="0" w:color="auto"/>
        <w:right w:val="none" w:sz="0" w:space="0" w:color="auto"/>
      </w:divBdr>
    </w:div>
    <w:div w:id="922840060">
      <w:bodyDiv w:val="1"/>
      <w:marLeft w:val="0"/>
      <w:marRight w:val="0"/>
      <w:marTop w:val="0"/>
      <w:marBottom w:val="0"/>
      <w:divBdr>
        <w:top w:val="none" w:sz="0" w:space="0" w:color="auto"/>
        <w:left w:val="none" w:sz="0" w:space="0" w:color="auto"/>
        <w:bottom w:val="none" w:sz="0" w:space="0" w:color="auto"/>
        <w:right w:val="none" w:sz="0" w:space="0" w:color="auto"/>
      </w:divBdr>
    </w:div>
    <w:div w:id="946617357">
      <w:bodyDiv w:val="1"/>
      <w:marLeft w:val="0"/>
      <w:marRight w:val="0"/>
      <w:marTop w:val="0"/>
      <w:marBottom w:val="0"/>
      <w:divBdr>
        <w:top w:val="none" w:sz="0" w:space="0" w:color="auto"/>
        <w:left w:val="none" w:sz="0" w:space="0" w:color="auto"/>
        <w:bottom w:val="none" w:sz="0" w:space="0" w:color="auto"/>
        <w:right w:val="none" w:sz="0" w:space="0" w:color="auto"/>
      </w:divBdr>
    </w:div>
    <w:div w:id="1016731902">
      <w:bodyDiv w:val="1"/>
      <w:marLeft w:val="0"/>
      <w:marRight w:val="0"/>
      <w:marTop w:val="0"/>
      <w:marBottom w:val="0"/>
      <w:divBdr>
        <w:top w:val="none" w:sz="0" w:space="0" w:color="auto"/>
        <w:left w:val="none" w:sz="0" w:space="0" w:color="auto"/>
        <w:bottom w:val="none" w:sz="0" w:space="0" w:color="auto"/>
        <w:right w:val="none" w:sz="0" w:space="0" w:color="auto"/>
      </w:divBdr>
    </w:div>
    <w:div w:id="1349866054">
      <w:bodyDiv w:val="1"/>
      <w:marLeft w:val="0"/>
      <w:marRight w:val="0"/>
      <w:marTop w:val="0"/>
      <w:marBottom w:val="0"/>
      <w:divBdr>
        <w:top w:val="none" w:sz="0" w:space="0" w:color="auto"/>
        <w:left w:val="none" w:sz="0" w:space="0" w:color="auto"/>
        <w:bottom w:val="none" w:sz="0" w:space="0" w:color="auto"/>
        <w:right w:val="none" w:sz="0" w:space="0" w:color="auto"/>
      </w:divBdr>
    </w:div>
    <w:div w:id="1744258923">
      <w:bodyDiv w:val="1"/>
      <w:marLeft w:val="0"/>
      <w:marRight w:val="0"/>
      <w:marTop w:val="0"/>
      <w:marBottom w:val="0"/>
      <w:divBdr>
        <w:top w:val="none" w:sz="0" w:space="0" w:color="auto"/>
        <w:left w:val="none" w:sz="0" w:space="0" w:color="auto"/>
        <w:bottom w:val="none" w:sz="0" w:space="0" w:color="auto"/>
        <w:right w:val="none" w:sz="0" w:space="0" w:color="auto"/>
      </w:divBdr>
    </w:div>
    <w:div w:id="186293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51E34CFFE598479E195F5ABF6D6981" ma:contentTypeVersion="13" ma:contentTypeDescription="Create a new document." ma:contentTypeScope="" ma:versionID="37b8470f909b0a1ec7e8bf1329a45cef">
  <xsd:schema xmlns:xsd="http://www.w3.org/2001/XMLSchema" xmlns:xs="http://www.w3.org/2001/XMLSchema" xmlns:p="http://schemas.microsoft.com/office/2006/metadata/properties" xmlns:ns2="dd380071-04f4-46d6-a416-eecafb0637db" xmlns:ns3="5b73da98-7e1c-4116-802a-9e73dfd4ef42" targetNamespace="http://schemas.microsoft.com/office/2006/metadata/properties" ma:root="true" ma:fieldsID="eca0b0698a1a83c29c3a7ad288d1fb0b" ns2:_="" ns3:_="">
    <xsd:import namespace="dd380071-04f4-46d6-a416-eecafb0637db"/>
    <xsd:import namespace="5b73da98-7e1c-4116-802a-9e73dfd4ef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80071-04f4-46d6-a416-eecafb063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73da98-7e1c-4116-802a-9e73dfd4ef4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82AAB-F930-4A53-BDF1-6D11E916EA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455417-23A2-46C1-B010-B35ED1C89E46}">
  <ds:schemaRefs>
    <ds:schemaRef ds:uri="http://schemas.microsoft.com/sharepoint/v3/contenttype/forms"/>
  </ds:schemaRefs>
</ds:datastoreItem>
</file>

<file path=customXml/itemProps3.xml><?xml version="1.0" encoding="utf-8"?>
<ds:datastoreItem xmlns:ds="http://schemas.openxmlformats.org/officeDocument/2006/customXml" ds:itemID="{B074BE2D-9DCD-446D-85B2-91CFA74BD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80071-04f4-46d6-a416-eecafb0637db"/>
    <ds:schemaRef ds:uri="5b73da98-7e1c-4116-802a-9e73dfd4e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8B5340-4F20-4D6C-B959-D69D01BB7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12</Pages>
  <Words>1445</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9669</CharactersWithSpaces>
  <SharedDoc>false</SharedDoc>
  <HLinks>
    <vt:vector size="30" baseType="variant">
      <vt:variant>
        <vt:i4>1179699</vt:i4>
      </vt:variant>
      <vt:variant>
        <vt:i4>26</vt:i4>
      </vt:variant>
      <vt:variant>
        <vt:i4>0</vt:i4>
      </vt:variant>
      <vt:variant>
        <vt:i4>5</vt:i4>
      </vt:variant>
      <vt:variant>
        <vt:lpwstr/>
      </vt:variant>
      <vt:variant>
        <vt:lpwstr>_Toc216254228</vt:lpwstr>
      </vt:variant>
      <vt:variant>
        <vt:i4>1179699</vt:i4>
      </vt:variant>
      <vt:variant>
        <vt:i4>20</vt:i4>
      </vt:variant>
      <vt:variant>
        <vt:i4>0</vt:i4>
      </vt:variant>
      <vt:variant>
        <vt:i4>5</vt:i4>
      </vt:variant>
      <vt:variant>
        <vt:lpwstr/>
      </vt:variant>
      <vt:variant>
        <vt:lpwstr>_Toc216254227</vt:lpwstr>
      </vt:variant>
      <vt:variant>
        <vt:i4>1179699</vt:i4>
      </vt:variant>
      <vt:variant>
        <vt:i4>14</vt:i4>
      </vt:variant>
      <vt:variant>
        <vt:i4>0</vt:i4>
      </vt:variant>
      <vt:variant>
        <vt:i4>5</vt:i4>
      </vt:variant>
      <vt:variant>
        <vt:lpwstr/>
      </vt:variant>
      <vt:variant>
        <vt:lpwstr>_Toc216254226</vt:lpwstr>
      </vt:variant>
      <vt:variant>
        <vt:i4>1179699</vt:i4>
      </vt:variant>
      <vt:variant>
        <vt:i4>8</vt:i4>
      </vt:variant>
      <vt:variant>
        <vt:i4>0</vt:i4>
      </vt:variant>
      <vt:variant>
        <vt:i4>5</vt:i4>
      </vt:variant>
      <vt:variant>
        <vt:lpwstr/>
      </vt:variant>
      <vt:variant>
        <vt:lpwstr>_Toc216254225</vt:lpwstr>
      </vt:variant>
      <vt:variant>
        <vt:i4>1179699</vt:i4>
      </vt:variant>
      <vt:variant>
        <vt:i4>2</vt:i4>
      </vt:variant>
      <vt:variant>
        <vt:i4>0</vt:i4>
      </vt:variant>
      <vt:variant>
        <vt:i4>5</vt:i4>
      </vt:variant>
      <vt:variant>
        <vt:lpwstr/>
      </vt:variant>
      <vt:variant>
        <vt:lpwstr>_Toc216254223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Clark</dc:creator>
  <cp:keywords/>
  <cp:lastModifiedBy>Katherine Clark</cp:lastModifiedBy>
  <cp:revision>259</cp:revision>
  <cp:lastPrinted>2012-05-24T18:03:00Z</cp:lastPrinted>
  <dcterms:created xsi:type="dcterms:W3CDTF">2022-07-19T17:34:00Z</dcterms:created>
  <dcterms:modified xsi:type="dcterms:W3CDTF">2025-12-18T14:24:00Z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0x0101008E51E34CFFE598479E195F5ABF6D6981</vt:lpwstr>
  </property>
</Properties>
</file>